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7" w:rsidRPr="00BE70D8" w:rsidRDefault="00E3393B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 w:rsidRPr="00BE70D8">
        <w:rPr>
          <w:rFonts w:ascii="Arial" w:hAnsi="Arial" w:cs="Arial"/>
          <w:b/>
          <w:bCs/>
          <w:color w:val="1F497D"/>
          <w:sz w:val="24"/>
          <w:szCs w:val="24"/>
          <w:u w:val="single"/>
        </w:rPr>
        <w:t>LO</w:t>
      </w:r>
      <w:r w:rsidR="00F01EF1" w:rsidRPr="00BE70D8">
        <w:rPr>
          <w:rFonts w:ascii="Arial" w:hAnsi="Arial" w:cs="Arial"/>
          <w:b/>
          <w:bCs/>
          <w:color w:val="1F497D"/>
          <w:sz w:val="24"/>
          <w:szCs w:val="24"/>
          <w:u w:val="single"/>
        </w:rPr>
        <w:t xml:space="preserve"> SCREENING DELLA CERVICE UTERINA</w:t>
      </w:r>
    </w:p>
    <w:p w:rsidR="007D1447" w:rsidRPr="003B489A" w:rsidRDefault="007D1447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7D1447" w:rsidRPr="003B489A" w:rsidRDefault="007D1447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7D1447" w:rsidRPr="003B489A" w:rsidRDefault="007D1447" w:rsidP="007D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Criteri generali di un programma di screening</w:t>
      </w:r>
    </w:p>
    <w:p w:rsidR="007D1447" w:rsidRPr="003B489A" w:rsidRDefault="007D1447" w:rsidP="007D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Lo screening è un esame sistematico, condotto con mezzi clinici, strumentali o di laboratorio per individuare una malattia in una fase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preclinica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o precursori della malattia nella popolazione generale o in un suo sottogruppo. Un programma di screening organizzato è un processo complesso,che agisce su una popolazione asintomatica invitata attivamente a sottoporsi al test</w:t>
      </w:r>
      <w:r w:rsidR="00070436" w:rsidRPr="003B489A">
        <w:rPr>
          <w:rFonts w:ascii="Arial" w:hAnsi="Arial" w:cs="Arial"/>
          <w:color w:val="1F497D"/>
          <w:sz w:val="24"/>
          <w:szCs w:val="24"/>
        </w:rPr>
        <w:t>.</w:t>
      </w:r>
    </w:p>
    <w:p w:rsidR="00E6202D" w:rsidRPr="003B489A" w:rsidRDefault="00E6202D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Per</w:t>
      </w:r>
      <w:r w:rsidR="00F444FC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attuare un programma di screening è necessario che ne sia stata dimostrata l’efficacia in termini</w:t>
      </w:r>
      <w:r w:rsidR="00F444FC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di riduzione dell’incidenza o della mortalità della patologia oggetto dell’intervento.</w:t>
      </w:r>
    </w:p>
    <w:p w:rsidR="003B489A" w:rsidRPr="003B489A" w:rsidRDefault="003B489A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E6202D" w:rsidRPr="003B489A" w:rsidRDefault="00E6202D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Obiettivi dello screening</w:t>
      </w:r>
    </w:p>
    <w:p w:rsidR="00E6202D" w:rsidRDefault="00E6202D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Lo screening si propone quindi di ridurre la mortalità per causa specifica nella popolazione che si</w:t>
      </w:r>
      <w:r w:rsidR="00F444FC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sottopone regolarmente a controlli per la diagnosi precoce di neoplasie o lesioni precancerose.</w:t>
      </w: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D15B88" w:rsidRPr="003B489A" w:rsidRDefault="00D15B88" w:rsidP="00E6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Programma screening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Si raccomanda di attivare un programma che preveda l’esecuzione di un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Pap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test ogni 3 anni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nella donne di età compresa tra 25 e 64 anni. È auspicabile che almeno l’85% di questa popolazione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esegua almeno un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Pap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test ogni 3 anni. 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Valutazione e miglioramento di qualità</w:t>
      </w:r>
    </w:p>
    <w:p w:rsidR="00D15B88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La promozione della qualità di un programma di screening deve riguardare la qualità tecnico</w:t>
      </w:r>
      <w:r w:rsidR="0032315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professionale,organizzativa e percepita. 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D131F">
        <w:rPr>
          <w:rFonts w:ascii="Arial" w:hAnsi="Arial" w:cs="Arial"/>
          <w:b/>
          <w:i/>
          <w:color w:val="1F497D"/>
          <w:sz w:val="24"/>
          <w:szCs w:val="24"/>
        </w:rPr>
        <w:t>Questi i punti salienti</w:t>
      </w:r>
      <w:r w:rsidRPr="003B489A">
        <w:rPr>
          <w:rFonts w:ascii="Arial" w:hAnsi="Arial" w:cs="Arial"/>
          <w:color w:val="1F497D"/>
          <w:sz w:val="24"/>
          <w:szCs w:val="24"/>
        </w:rPr>
        <w:t>: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_ i campioni inadeguati a causa del prelievo non devono essere più del 5%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_ almeno una volta all’anno va monitorata l’efficienza di ogni addetto al prelievo, prevedendo</w:t>
      </w:r>
      <w:r w:rsidR="00D15B88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un aggiornamento periodico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_ si devono adottare procedure di verifica e miglioramento della qualità nella lettura citologica,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con controlli di qualità (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Cdq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>) interni ed esterni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_ il carico annuo di lavoro di un citologo esperto dedicato allo screening non dovrebbe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superare i 7500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Pap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test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_ ogni laboratorio deve esaminare almeno 15 mila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Pap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test all’anno, anche attraverso il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consorzio tra più laboratori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_ l’intervallo tra l’esecuzione del test e la consegna del referto non dovrebbe superare le 6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settimane.</w:t>
      </w: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Refertazione, classificazione e archiviazione</w:t>
      </w:r>
      <w:r w:rsidR="00D6735C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dei preparati citologici e istologici</w:t>
      </w:r>
    </w:p>
    <w:p w:rsidR="00D6735C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Si raccomanda di adottare la revisione 2001 del Sistema di refertazione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Bethesda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(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Tbs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2001) per</w:t>
      </w:r>
      <w:r w:rsidR="00D6735C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la citologia e la classificazione Oms per l’istologia. </w:t>
      </w:r>
    </w:p>
    <w:p w:rsidR="008C303E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Refertazione, registrazione e archiviazione dei</w:t>
      </w:r>
      <w:r w:rsidR="00D6735C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preparati devono essere automatizzate. Per l’archiviazione, si consiglia di conservare i referti</w:t>
      </w:r>
      <w:r w:rsidR="00D6735C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negativi per 5 anni, quelli non negativi per 20 anni e i preparati istologici per 20 anni.</w:t>
      </w: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3E4664" w:rsidRDefault="003E4664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3E4664" w:rsidRDefault="003E4664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3E4664" w:rsidRPr="00D6735C" w:rsidRDefault="003E4664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8C303E" w:rsidRPr="003B489A" w:rsidRDefault="008C303E" w:rsidP="008C3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6F2137" w:rsidRPr="003B489A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Obiettivi dello screening</w:t>
      </w:r>
    </w:p>
    <w:p w:rsidR="006F6C9A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Il razionale per l’introduzione dello screening di popolazione per il carcinoma della cervice si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basa sulla possibilità di individuare la malattia in fase asintomatica, quando è più probabile che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questa sia in fase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preinvasiva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o all’inizio della fase invasiva. </w:t>
      </w:r>
    </w:p>
    <w:p w:rsidR="006F2137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Lo screening cervicale consente di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identificare non solo le lesioni tumorali molto precoci, ma anche quelle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preneoplastiche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>. Si tratta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quindi di uno strumento in grado di ridurre sia la mortalità per carcinoma, favorendone la diagnosi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in una fase in cui il trattam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ento può </w:t>
      </w:r>
      <w:r w:rsidRPr="003B489A">
        <w:rPr>
          <w:rFonts w:ascii="Arial" w:hAnsi="Arial" w:cs="Arial"/>
          <w:color w:val="1F497D"/>
          <w:sz w:val="24"/>
          <w:szCs w:val="24"/>
        </w:rPr>
        <w:t>essere efficace, sia l’incidenza della neoplasia invasiva,</w:t>
      </w:r>
      <w:r w:rsidR="006F6C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attraverso il trattamento delle forme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preneoplastiche</w:t>
      </w:r>
      <w:proofErr w:type="spellEnd"/>
      <w:r w:rsidR="000A497E">
        <w:rPr>
          <w:rFonts w:ascii="Arial" w:hAnsi="Arial" w:cs="Arial"/>
          <w:color w:val="1F497D"/>
          <w:sz w:val="24"/>
          <w:szCs w:val="24"/>
        </w:rPr>
        <w:t>.</w:t>
      </w:r>
    </w:p>
    <w:p w:rsidR="000A497E" w:rsidRPr="003B489A" w:rsidRDefault="000A497E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6F2137" w:rsidRPr="003B489A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Test di screening</w:t>
      </w:r>
    </w:p>
    <w:p w:rsidR="000A497E" w:rsidRPr="001E5D31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  <w:u w:val="single"/>
        </w:rPr>
      </w:pPr>
      <w:r w:rsidRPr="001E5D31">
        <w:rPr>
          <w:rFonts w:ascii="Arial" w:hAnsi="Arial" w:cs="Arial"/>
          <w:color w:val="1F497D"/>
          <w:sz w:val="24"/>
          <w:szCs w:val="24"/>
          <w:u w:val="single"/>
        </w:rPr>
        <w:t xml:space="preserve">L’esame citologico </w:t>
      </w:r>
      <w:proofErr w:type="spellStart"/>
      <w:r w:rsidRPr="001E5D31">
        <w:rPr>
          <w:rFonts w:ascii="Arial" w:hAnsi="Arial" w:cs="Arial"/>
          <w:color w:val="1F497D"/>
          <w:sz w:val="24"/>
          <w:szCs w:val="24"/>
          <w:u w:val="single"/>
        </w:rPr>
        <w:t>cervico-vaginale</w:t>
      </w:r>
      <w:proofErr w:type="spellEnd"/>
      <w:r w:rsidRPr="001E5D31">
        <w:rPr>
          <w:rFonts w:ascii="Arial" w:hAnsi="Arial" w:cs="Arial"/>
          <w:color w:val="1F497D"/>
          <w:sz w:val="24"/>
          <w:szCs w:val="24"/>
          <w:u w:val="single"/>
        </w:rPr>
        <w:t xml:space="preserve">, o </w:t>
      </w:r>
      <w:proofErr w:type="spellStart"/>
      <w:r w:rsidRPr="001E5D31">
        <w:rPr>
          <w:rFonts w:ascii="Arial" w:hAnsi="Arial" w:cs="Arial"/>
          <w:color w:val="1F497D"/>
          <w:sz w:val="24"/>
          <w:szCs w:val="24"/>
          <w:u w:val="single"/>
        </w:rPr>
        <w:t>Pap</w:t>
      </w:r>
      <w:proofErr w:type="spellEnd"/>
      <w:r w:rsidRPr="001E5D31">
        <w:rPr>
          <w:rFonts w:ascii="Arial" w:hAnsi="Arial" w:cs="Arial"/>
          <w:color w:val="1F497D"/>
          <w:sz w:val="24"/>
          <w:szCs w:val="24"/>
          <w:u w:val="single"/>
        </w:rPr>
        <w:t xml:space="preserve"> test, è l’unico test di screening per il carcinoma della</w:t>
      </w:r>
      <w:r w:rsidR="000A497E" w:rsidRPr="001E5D31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1E5D31">
        <w:rPr>
          <w:rFonts w:ascii="Arial" w:hAnsi="Arial" w:cs="Arial"/>
          <w:color w:val="1F497D"/>
          <w:sz w:val="24"/>
          <w:szCs w:val="24"/>
          <w:u w:val="single"/>
        </w:rPr>
        <w:t xml:space="preserve">cervice uterina. </w:t>
      </w:r>
    </w:p>
    <w:p w:rsidR="006F2137" w:rsidRPr="001E5D31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  <w:u w:val="single"/>
        </w:rPr>
      </w:pPr>
      <w:r w:rsidRPr="001E5D31">
        <w:rPr>
          <w:rFonts w:ascii="Arial" w:hAnsi="Arial" w:cs="Arial"/>
          <w:color w:val="1F497D"/>
          <w:sz w:val="24"/>
          <w:szCs w:val="24"/>
          <w:u w:val="single"/>
        </w:rPr>
        <w:t>L’esame può essere eseguito con striscio convenzionale o con sistemi di preparazione</w:t>
      </w:r>
    </w:p>
    <w:p w:rsidR="006F2137" w:rsidRPr="001E5D31" w:rsidRDefault="006F2137" w:rsidP="006F2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  <w:u w:val="single"/>
        </w:rPr>
      </w:pPr>
      <w:r w:rsidRPr="001E5D31">
        <w:rPr>
          <w:rFonts w:ascii="Arial" w:hAnsi="Arial" w:cs="Arial"/>
          <w:color w:val="1F497D"/>
          <w:sz w:val="24"/>
          <w:szCs w:val="24"/>
          <w:u w:val="single"/>
        </w:rPr>
        <w:t>in fase liquida (citologia su strato sottile). La lettura può avvenire anche con l’ausilio di</w:t>
      </w:r>
    </w:p>
    <w:p w:rsidR="006F2137" w:rsidRPr="001E5D31" w:rsidRDefault="006F2137" w:rsidP="001E5D31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  <w:u w:val="single"/>
        </w:rPr>
      </w:pPr>
      <w:r w:rsidRPr="001E5D31">
        <w:rPr>
          <w:rFonts w:ascii="Arial" w:hAnsi="Arial" w:cs="Arial"/>
          <w:color w:val="1F497D"/>
          <w:sz w:val="24"/>
          <w:szCs w:val="24"/>
          <w:u w:val="single"/>
        </w:rPr>
        <w:t>sistemi di lettura automatici.</w:t>
      </w:r>
      <w:r w:rsidR="001E5D31" w:rsidRPr="001E5D31">
        <w:rPr>
          <w:rFonts w:ascii="Arial" w:hAnsi="Arial" w:cs="Arial"/>
          <w:color w:val="1F497D"/>
          <w:sz w:val="24"/>
          <w:szCs w:val="24"/>
          <w:u w:val="single"/>
        </w:rPr>
        <w:tab/>
      </w:r>
    </w:p>
    <w:p w:rsidR="00955AD2" w:rsidRPr="004E1939" w:rsidRDefault="0045138B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  <w:u w:val="single"/>
        </w:rPr>
      </w:pPr>
      <w:r w:rsidRPr="004E1939">
        <w:rPr>
          <w:rFonts w:ascii="Arial" w:hAnsi="Arial" w:cs="Arial"/>
          <w:color w:val="1F497D"/>
          <w:sz w:val="24"/>
          <w:szCs w:val="24"/>
          <w:u w:val="single"/>
        </w:rPr>
        <w:t xml:space="preserve">Si raccomanda di attivare un programma che preveda l’esecuzione di un </w:t>
      </w:r>
      <w:proofErr w:type="spellStart"/>
      <w:r w:rsidRPr="004E1939">
        <w:rPr>
          <w:rFonts w:ascii="Arial" w:hAnsi="Arial" w:cs="Arial"/>
          <w:color w:val="1F497D"/>
          <w:sz w:val="24"/>
          <w:szCs w:val="24"/>
          <w:u w:val="single"/>
        </w:rPr>
        <w:t>Pap</w:t>
      </w:r>
      <w:proofErr w:type="spellEnd"/>
      <w:r w:rsidRPr="004E1939">
        <w:rPr>
          <w:rFonts w:ascii="Arial" w:hAnsi="Arial" w:cs="Arial"/>
          <w:color w:val="1F497D"/>
          <w:sz w:val="24"/>
          <w:szCs w:val="24"/>
          <w:u w:val="single"/>
        </w:rPr>
        <w:t xml:space="preserve"> test ogni 3 anni</w:t>
      </w:r>
      <w:r w:rsidR="004E1939" w:rsidRPr="004E1939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4E1939">
        <w:rPr>
          <w:rFonts w:ascii="Arial" w:hAnsi="Arial" w:cs="Arial"/>
          <w:color w:val="1F497D"/>
          <w:sz w:val="24"/>
          <w:szCs w:val="24"/>
          <w:u w:val="single"/>
        </w:rPr>
        <w:t>nella popolazione femminile di età compresa tra 25 e 64 anni. È auspicabile che almeno l’85% di</w:t>
      </w:r>
      <w:r w:rsidR="004E1939" w:rsidRPr="004E1939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4E1939">
        <w:rPr>
          <w:rFonts w:ascii="Arial" w:hAnsi="Arial" w:cs="Arial"/>
          <w:color w:val="1F497D"/>
          <w:sz w:val="24"/>
          <w:szCs w:val="24"/>
          <w:u w:val="single"/>
        </w:rPr>
        <w:t xml:space="preserve">questa popolazione esegua almeno un </w:t>
      </w:r>
      <w:proofErr w:type="spellStart"/>
      <w:r w:rsidRPr="004E1939">
        <w:rPr>
          <w:rFonts w:ascii="Arial" w:hAnsi="Arial" w:cs="Arial"/>
          <w:color w:val="1F497D"/>
          <w:sz w:val="24"/>
          <w:szCs w:val="24"/>
          <w:u w:val="single"/>
        </w:rPr>
        <w:t>Pap</w:t>
      </w:r>
      <w:proofErr w:type="spellEnd"/>
      <w:r w:rsidRPr="004E1939">
        <w:rPr>
          <w:rFonts w:ascii="Arial" w:hAnsi="Arial" w:cs="Arial"/>
          <w:color w:val="1F497D"/>
          <w:sz w:val="24"/>
          <w:szCs w:val="24"/>
          <w:u w:val="single"/>
        </w:rPr>
        <w:t xml:space="preserve"> test ogni 3 anni.</w:t>
      </w:r>
      <w:r w:rsidR="002F4960" w:rsidRPr="004E1939">
        <w:rPr>
          <w:rFonts w:ascii="Arial" w:hAnsi="Arial" w:cs="Arial"/>
          <w:b/>
          <w:bCs/>
          <w:color w:val="1F497D"/>
          <w:sz w:val="24"/>
          <w:szCs w:val="24"/>
          <w:u w:val="single"/>
        </w:rPr>
        <w:t xml:space="preserve"> </w:t>
      </w:r>
    </w:p>
    <w:p w:rsidR="00955AD2" w:rsidRPr="003B489A" w:rsidRDefault="00955AD2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2F4960" w:rsidRPr="003B489A" w:rsidRDefault="002F4960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Valutazione e miglioramento di qualità</w:t>
      </w:r>
    </w:p>
    <w:p w:rsidR="002F4960" w:rsidRPr="003B489A" w:rsidRDefault="002F4960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È importante che il personale addetto al prelievo sia aggiornato periodicamente sull’andamento</w:t>
      </w:r>
      <w:r w:rsidR="00B16648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del programma, con particolare riferimento agli esiti qualitativi del proprio operato.</w:t>
      </w:r>
    </w:p>
    <w:p w:rsidR="002F4960" w:rsidRPr="007B620A" w:rsidRDefault="002F4960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  <w:u w:val="single"/>
        </w:rPr>
      </w:pPr>
      <w:r w:rsidRPr="007B620A">
        <w:rPr>
          <w:rFonts w:ascii="Arial" w:hAnsi="Arial" w:cs="Arial"/>
          <w:color w:val="1F497D"/>
          <w:sz w:val="24"/>
          <w:szCs w:val="24"/>
          <w:u w:val="single"/>
        </w:rPr>
        <w:t>In particolare, vanno adottate opportune procedure di verifica e miglioramento della qualità</w:t>
      </w:r>
    </w:p>
    <w:p w:rsidR="002F4960" w:rsidRPr="003B489A" w:rsidRDefault="002F4960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7B620A">
        <w:rPr>
          <w:rFonts w:ascii="Arial" w:hAnsi="Arial" w:cs="Arial"/>
          <w:color w:val="1F497D"/>
          <w:sz w:val="24"/>
          <w:szCs w:val="24"/>
          <w:u w:val="single"/>
        </w:rPr>
        <w:t>nella lettura citologica, che deve essere in grado di monitorare e migliorare la riproducibilità e il</w:t>
      </w:r>
      <w:r w:rsidR="00B16648" w:rsidRPr="007B620A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7B620A">
        <w:rPr>
          <w:rFonts w:ascii="Arial" w:hAnsi="Arial" w:cs="Arial"/>
          <w:color w:val="1F497D"/>
          <w:sz w:val="24"/>
          <w:szCs w:val="24"/>
          <w:u w:val="single"/>
        </w:rPr>
        <w:t>livello di accuratezza in termini di sensibilità, specificità e valore predittivo. È essenziale adottare</w:t>
      </w:r>
      <w:r w:rsidR="00B16648" w:rsidRPr="007B620A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7B620A">
        <w:rPr>
          <w:rFonts w:ascii="Arial" w:hAnsi="Arial" w:cs="Arial"/>
          <w:color w:val="1F497D"/>
          <w:sz w:val="24"/>
          <w:szCs w:val="24"/>
          <w:u w:val="single"/>
        </w:rPr>
        <w:t>controlli di qualità (</w:t>
      </w:r>
      <w:proofErr w:type="spellStart"/>
      <w:r w:rsidRPr="007B620A">
        <w:rPr>
          <w:rFonts w:ascii="Arial" w:hAnsi="Arial" w:cs="Arial"/>
          <w:color w:val="1F497D"/>
          <w:sz w:val="24"/>
          <w:szCs w:val="24"/>
          <w:u w:val="single"/>
        </w:rPr>
        <w:t>Cdq</w:t>
      </w:r>
      <w:proofErr w:type="spellEnd"/>
      <w:r w:rsidRPr="007B620A">
        <w:rPr>
          <w:rFonts w:ascii="Arial" w:hAnsi="Arial" w:cs="Arial"/>
          <w:color w:val="1F497D"/>
          <w:sz w:val="24"/>
          <w:szCs w:val="24"/>
          <w:u w:val="single"/>
        </w:rPr>
        <w:t xml:space="preserve">) interni basati sul monitoraggio delle diagnosi, sulla </w:t>
      </w:r>
      <w:proofErr w:type="spellStart"/>
      <w:r w:rsidRPr="007B620A">
        <w:rPr>
          <w:rFonts w:ascii="Arial" w:hAnsi="Arial" w:cs="Arial"/>
          <w:color w:val="1F497D"/>
          <w:sz w:val="24"/>
          <w:szCs w:val="24"/>
          <w:u w:val="single"/>
        </w:rPr>
        <w:t>predittività</w:t>
      </w:r>
      <w:proofErr w:type="spellEnd"/>
      <w:r w:rsidRPr="007B620A">
        <w:rPr>
          <w:rFonts w:ascii="Arial" w:hAnsi="Arial" w:cs="Arial"/>
          <w:color w:val="1F497D"/>
          <w:sz w:val="24"/>
          <w:szCs w:val="24"/>
          <w:u w:val="single"/>
        </w:rPr>
        <w:t xml:space="preserve"> delle</w:t>
      </w:r>
      <w:r w:rsidR="00B16648" w:rsidRPr="007B620A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7B620A">
        <w:rPr>
          <w:rFonts w:ascii="Arial" w:hAnsi="Arial" w:cs="Arial"/>
          <w:color w:val="1F497D"/>
          <w:sz w:val="24"/>
          <w:szCs w:val="24"/>
          <w:u w:val="single"/>
        </w:rPr>
        <w:t>classi diagnostiche e sulla revisione dei falsi negativi.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 Ulteriori controlli complementari possono</w:t>
      </w:r>
      <w:r w:rsidR="00B16648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essere previsti sulla base del volume di attività e delle caratteristiche organizzative del laboratorio.</w:t>
      </w:r>
    </w:p>
    <w:p w:rsidR="002F4960" w:rsidRPr="003B489A" w:rsidRDefault="002F4960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Questi controlli di qualità vanno previsti anche per eventuali strutture convenzionate che</w:t>
      </w:r>
    </w:p>
    <w:p w:rsidR="002F4960" w:rsidRPr="003B489A" w:rsidRDefault="002F4960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partecipino allo screening.</w:t>
      </w:r>
    </w:p>
    <w:p w:rsidR="008E5C3D" w:rsidRPr="00B16648" w:rsidRDefault="002F4960" w:rsidP="008E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Il carico di lavoro annuo di un citologo esperto dedicato allo screening non dovrebbe superare</w:t>
      </w:r>
      <w:r w:rsidR="00B16648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i 7500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Pap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test e dovrebbe comprendere anche il carico di lavoro legato alle procedure di controllo</w:t>
      </w:r>
      <w:r w:rsidR="00B16648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di qualità, in modo da permettere un’attenzione costante nella lettura di screening. Per</w:t>
      </w:r>
      <w:r w:rsidR="00B16648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mantenere un’adeguata qualità e garantire che ogni citologo ved</w:t>
      </w:r>
      <w:r w:rsidR="00B16648">
        <w:rPr>
          <w:rFonts w:ascii="Arial" w:hAnsi="Arial" w:cs="Arial"/>
          <w:color w:val="1F497D"/>
          <w:sz w:val="24"/>
          <w:szCs w:val="24"/>
        </w:rPr>
        <w:t>a un numero sufficiente di pre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parati positivi, un laboratorio deve esaminare almeno 15 mila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Pap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test ogni anno</w:t>
      </w:r>
      <w:r w:rsidR="00B16648">
        <w:rPr>
          <w:rFonts w:ascii="Arial" w:hAnsi="Arial" w:cs="Arial"/>
          <w:color w:val="1F497D"/>
          <w:sz w:val="24"/>
          <w:szCs w:val="24"/>
        </w:rPr>
        <w:t>.</w:t>
      </w:r>
      <w:r w:rsidR="008E5C3D" w:rsidRPr="003B489A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8E5C3D" w:rsidRPr="003B489A" w:rsidRDefault="008E5C3D" w:rsidP="008E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E5C3D" w:rsidRPr="003B489A" w:rsidRDefault="008E5C3D" w:rsidP="008E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E5C3D" w:rsidRPr="003B489A" w:rsidRDefault="008E5C3D" w:rsidP="008E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Classificazione dei preparati citologici e istologici</w:t>
      </w:r>
    </w:p>
    <w:p w:rsidR="008E5C3D" w:rsidRPr="003B489A" w:rsidRDefault="008E5C3D" w:rsidP="008E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Si raccomanda di classificare i preparati citologici secondo sistemi confrontabili e, in particolare,</w:t>
      </w:r>
      <w:r w:rsidR="00400975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di adottare la revisione 2001 del Sistema di refertazione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Bethesda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(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Tbs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2001) per la citologia e</w:t>
      </w:r>
      <w:r w:rsidR="00400975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della classificazione Oms per l’istologia.</w:t>
      </w:r>
    </w:p>
    <w:p w:rsidR="008A5DE4" w:rsidRPr="003B489A" w:rsidRDefault="008A5DE4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8E5C3D" w:rsidRPr="003B489A" w:rsidRDefault="008E5C3D" w:rsidP="002F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2F4960" w:rsidRPr="003B489A" w:rsidRDefault="002F4960" w:rsidP="00451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A5DE4" w:rsidRPr="003B489A" w:rsidRDefault="008A5DE4" w:rsidP="008A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F497D"/>
          <w:sz w:val="24"/>
          <w:szCs w:val="24"/>
        </w:rPr>
      </w:pPr>
      <w:r w:rsidRPr="003B489A">
        <w:rPr>
          <w:rFonts w:ascii="Arial" w:hAnsi="Arial" w:cs="Arial"/>
          <w:i/>
          <w:iCs/>
          <w:color w:val="1F497D"/>
          <w:sz w:val="24"/>
          <w:szCs w:val="24"/>
        </w:rPr>
        <w:t xml:space="preserve">                                           Ministero della Salute</w:t>
      </w:r>
    </w:p>
    <w:p w:rsidR="00DB7FC3" w:rsidRPr="003B489A" w:rsidRDefault="008A5DE4" w:rsidP="008A5DE4">
      <w:pPr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                     </w:t>
      </w:r>
      <w:r w:rsidR="006E2A43" w:rsidRPr="003B489A">
        <w:rPr>
          <w:rFonts w:ascii="Arial" w:hAnsi="Arial" w:cs="Arial"/>
          <w:color w:val="1F497D"/>
          <w:sz w:val="24"/>
          <w:szCs w:val="24"/>
        </w:rPr>
        <w:t xml:space="preserve">                    </w:t>
      </w:r>
      <w:r w:rsidRPr="003B489A">
        <w:rPr>
          <w:rFonts w:ascii="Arial" w:hAnsi="Arial" w:cs="Arial"/>
          <w:color w:val="1F497D"/>
          <w:sz w:val="24"/>
          <w:szCs w:val="24"/>
        </w:rPr>
        <w:t xml:space="preserve"> Direzione Generale della Prevenzione</w:t>
      </w:r>
    </w:p>
    <w:p w:rsidR="009511D6" w:rsidRPr="003B489A" w:rsidRDefault="009511D6" w:rsidP="008A5DE4">
      <w:pPr>
        <w:rPr>
          <w:rFonts w:ascii="Arial" w:hAnsi="Arial" w:cs="Arial"/>
          <w:color w:val="1F497D"/>
          <w:sz w:val="24"/>
          <w:szCs w:val="24"/>
        </w:rPr>
      </w:pPr>
    </w:p>
    <w:p w:rsidR="009511D6" w:rsidRPr="003B489A" w:rsidRDefault="007266A6" w:rsidP="008E1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DOCUMENTO</w:t>
      </w:r>
      <w:r w:rsidR="008E19FA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OPERATIVO GISCI</w:t>
      </w:r>
      <w:r w:rsidR="008E19FA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PER L'APPLICAZIONE</w:t>
      </w:r>
      <w:r w:rsidR="008E19FA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NEI PROGRAMMI</w:t>
      </w:r>
      <w:r w:rsidR="008E19FA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DI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SCREENING DEL</w:t>
      </w:r>
      <w:r w:rsidR="008E19FA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SISTEMA BETHESDA</w:t>
      </w:r>
      <w:r w:rsidR="008E19FA" w:rsidRPr="003B489A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489A">
        <w:rPr>
          <w:rFonts w:ascii="Arial" w:hAnsi="Arial" w:cs="Arial"/>
          <w:color w:val="1F497D"/>
          <w:sz w:val="24"/>
          <w:szCs w:val="24"/>
        </w:rPr>
        <w:t>2001</w:t>
      </w:r>
    </w:p>
    <w:p w:rsidR="009511D6" w:rsidRPr="003B489A" w:rsidRDefault="009511D6" w:rsidP="008A5DE4">
      <w:pPr>
        <w:rPr>
          <w:rFonts w:ascii="Arial" w:hAnsi="Arial" w:cs="Arial"/>
          <w:color w:val="1F497D"/>
          <w:sz w:val="24"/>
          <w:szCs w:val="24"/>
        </w:rPr>
      </w:pP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ADEGUATEZZA DEL CAMPIONE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• SODDISFACENTE per la valutazione</w:t>
      </w:r>
    </w:p>
    <w:p w:rsidR="009511D6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• INSODDISFACENTE per la valutazione </w:t>
      </w:r>
      <w:r w:rsidRPr="003B489A">
        <w:rPr>
          <w:rFonts w:ascii="Arial" w:hAnsi="Arial" w:cs="Arial"/>
          <w:i/>
          <w:iCs/>
          <w:color w:val="1F497D"/>
          <w:sz w:val="24"/>
          <w:szCs w:val="24"/>
        </w:rPr>
        <w:t>(specificare il motivo)</w:t>
      </w:r>
    </w:p>
    <w:p w:rsidR="0013157F" w:rsidRPr="003B489A" w:rsidRDefault="0013157F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F497D"/>
          <w:sz w:val="24"/>
          <w:szCs w:val="24"/>
        </w:rPr>
      </w:pPr>
    </w:p>
    <w:p w:rsidR="009511D6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CLASSIFICAZIONE GENERALE</w:t>
      </w:r>
    </w:p>
    <w:p w:rsidR="0013157F" w:rsidRPr="003B489A" w:rsidRDefault="0013157F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9511D6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NEGATIVO per lesione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intraepiteliale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o malignità</w:t>
      </w:r>
    </w:p>
    <w:p w:rsidR="0013157F" w:rsidRPr="003B489A" w:rsidRDefault="0013157F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9511D6" w:rsidRPr="0013157F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F497D"/>
          <w:sz w:val="24"/>
          <w:szCs w:val="24"/>
        </w:rPr>
      </w:pPr>
      <w:r w:rsidRPr="0013157F">
        <w:rPr>
          <w:rFonts w:ascii="Arial" w:hAnsi="Arial" w:cs="Arial"/>
          <w:bCs/>
          <w:color w:val="1F497D"/>
          <w:sz w:val="24"/>
          <w:szCs w:val="24"/>
        </w:rPr>
        <w:t xml:space="preserve">ANORMALITA’ DELLE CELLULE EPITELIALI </w:t>
      </w:r>
      <w:proofErr w:type="spellStart"/>
      <w:r w:rsidRPr="0013157F">
        <w:rPr>
          <w:rFonts w:ascii="Arial" w:hAnsi="Arial" w:cs="Arial"/>
          <w:bCs/>
          <w:color w:val="1F497D"/>
          <w:sz w:val="24"/>
          <w:szCs w:val="24"/>
        </w:rPr>
        <w:t>DI</w:t>
      </w:r>
      <w:proofErr w:type="spellEnd"/>
      <w:r w:rsidRPr="0013157F">
        <w:rPr>
          <w:rFonts w:ascii="Arial" w:hAnsi="Arial" w:cs="Arial"/>
          <w:bCs/>
          <w:color w:val="1F497D"/>
          <w:sz w:val="24"/>
          <w:szCs w:val="24"/>
        </w:rPr>
        <w:t xml:space="preserve"> TIPO SQUAMOSO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Cellule squamose atipiche (ASC)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• Cellule squamose atipiche di significato indeterminato (ASC-US)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• Cellule squamose atipiche, non si può escludere HSIL (ASC-H)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• Lesione Squamosa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Intraepiteliale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di Basso Grado (LSIL)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(include HPV/displasia lieve/CIN 1)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• Lesione Squamosa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Intraepiteliale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 di Alto Grado (HSIL)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(include displasia moderata, grave e carcinoma in situ/CIN 2/CIN 3/CIS)</w:t>
      </w:r>
    </w:p>
    <w:p w:rsidR="009511D6" w:rsidRPr="003B489A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• l’invasione non può essere esclusa</w:t>
      </w:r>
    </w:p>
    <w:p w:rsidR="009511D6" w:rsidRDefault="009511D6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• Carcinoma a cellule squamose</w:t>
      </w:r>
    </w:p>
    <w:p w:rsidR="0013157F" w:rsidRPr="003B489A" w:rsidRDefault="0013157F" w:rsidP="0095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B66939" w:rsidRPr="0013157F" w:rsidRDefault="00423A16" w:rsidP="00B66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F497D"/>
          <w:sz w:val="24"/>
          <w:szCs w:val="24"/>
        </w:rPr>
      </w:pPr>
      <w:r>
        <w:rPr>
          <w:rFonts w:ascii="Arial" w:hAnsi="Arial" w:cs="Arial"/>
          <w:bCs/>
          <w:color w:val="1F497D"/>
          <w:sz w:val="24"/>
          <w:szCs w:val="24"/>
        </w:rPr>
        <w:t xml:space="preserve">CELLULE GHIANDOLARI ATIPICHE </w:t>
      </w:r>
      <w:r w:rsidR="00B66939" w:rsidRPr="0013157F">
        <w:rPr>
          <w:rFonts w:ascii="Arial" w:hAnsi="Arial" w:cs="Arial"/>
          <w:bCs/>
          <w:color w:val="1F497D"/>
          <w:sz w:val="24"/>
          <w:szCs w:val="24"/>
        </w:rPr>
        <w:t xml:space="preserve"> (AGC, NOS)</w:t>
      </w:r>
    </w:p>
    <w:p w:rsidR="00B66939" w:rsidRPr="003B489A" w:rsidRDefault="00B66939" w:rsidP="00B66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• Adenocarcinoma</w:t>
      </w:r>
    </w:p>
    <w:p w:rsidR="00B66939" w:rsidRDefault="00B66939" w:rsidP="00B66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 xml:space="preserve">(specificare: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endometriale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 xml:space="preserve">, </w:t>
      </w:r>
      <w:proofErr w:type="spellStart"/>
      <w:r w:rsidRPr="003B489A">
        <w:rPr>
          <w:rFonts w:ascii="Arial" w:hAnsi="Arial" w:cs="Arial"/>
          <w:color w:val="1F497D"/>
          <w:sz w:val="24"/>
          <w:szCs w:val="24"/>
        </w:rPr>
        <w:t>endocervicale</w:t>
      </w:r>
      <w:proofErr w:type="spellEnd"/>
      <w:r w:rsidRPr="003B489A">
        <w:rPr>
          <w:rFonts w:ascii="Arial" w:hAnsi="Arial" w:cs="Arial"/>
          <w:color w:val="1F497D"/>
          <w:sz w:val="24"/>
          <w:szCs w:val="24"/>
        </w:rPr>
        <w:t>, extrauterino o NOS)</w:t>
      </w:r>
    </w:p>
    <w:p w:rsidR="00423A16" w:rsidRPr="003B489A" w:rsidRDefault="00423A16" w:rsidP="00B66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1927AF" w:rsidRPr="003B489A" w:rsidRDefault="001927AF" w:rsidP="00192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 xml:space="preserve">CELLULE ENDOMETRIALI BENIGNE IN DONNE CON ETÀ </w:t>
      </w:r>
      <w:r w:rsidRPr="003B489A">
        <w:rPr>
          <w:rFonts w:ascii="Arial" w:eastAsia="Arial-BoldMT" w:hAnsi="Arial" w:cs="Arial"/>
          <w:b/>
          <w:bCs/>
          <w:color w:val="1F497D"/>
          <w:sz w:val="24"/>
          <w:szCs w:val="24"/>
        </w:rPr>
        <w:t xml:space="preserve">≥ </w:t>
      </w:r>
      <w:r w:rsidRPr="003B489A">
        <w:rPr>
          <w:rFonts w:ascii="Arial" w:hAnsi="Arial" w:cs="Arial"/>
          <w:b/>
          <w:bCs/>
          <w:color w:val="1F497D"/>
          <w:sz w:val="24"/>
          <w:szCs w:val="24"/>
        </w:rPr>
        <w:t>40 ANNI</w:t>
      </w:r>
    </w:p>
    <w:p w:rsidR="001927AF" w:rsidRPr="003B489A" w:rsidRDefault="001927AF" w:rsidP="00192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3B489A">
        <w:rPr>
          <w:rFonts w:ascii="Arial" w:hAnsi="Arial" w:cs="Arial"/>
          <w:color w:val="1F497D"/>
          <w:sz w:val="24"/>
          <w:szCs w:val="24"/>
        </w:rPr>
        <w:t>Si segnalano come da TBS 2001 dando indicazione per ulteriori approfondimenti diagnostici.</w:t>
      </w:r>
    </w:p>
    <w:p w:rsidR="00DF0444" w:rsidRPr="00DF0444" w:rsidRDefault="00FC325A" w:rsidP="00DF0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6" w:anchor="classificazione bethesda 2001" w:history="1">
        <w:r w:rsidR="00DF0444" w:rsidRPr="00DF0444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it-IT"/>
          </w:rPr>
          <w:t>CLASSIFICAZIONE BETHESDA</w:t>
        </w:r>
      </w:hyperlink>
      <w:r w:rsidR="00DF0444" w:rsidRPr="00DF0444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it-IT"/>
        </w:rPr>
        <w:t xml:space="preserve"> nata nel 1999 e  rivista nel 2001.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F0444" w:rsidRPr="00531402" w:rsidTr="00DF0444">
        <w:trPr>
          <w:tblCellSpacing w:w="0" w:type="dxa"/>
        </w:trPr>
        <w:tc>
          <w:tcPr>
            <w:tcW w:w="5000" w:type="pct"/>
            <w:hideMark/>
          </w:tcPr>
          <w:p w:rsidR="00DF0444" w:rsidRPr="00DF0444" w:rsidRDefault="00DF0444" w:rsidP="00DF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DF0444" w:rsidRPr="00DF0444" w:rsidRDefault="00DF0444" w:rsidP="00DF0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F0444" w:rsidRPr="00DF0444" w:rsidRDefault="00DF0444" w:rsidP="00DF0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4658" w:type="pct"/>
        <w:jc w:val="center"/>
        <w:tblInd w:w="-15" w:type="dxa"/>
        <w:tblBorders>
          <w:top w:val="single" w:sz="12" w:space="0" w:color="CC6600"/>
          <w:left w:val="single" w:sz="12" w:space="0" w:color="CC6600"/>
          <w:bottom w:val="single" w:sz="12" w:space="0" w:color="CC6600"/>
          <w:right w:val="single" w:sz="12" w:space="0" w:color="CC6600"/>
        </w:tblBorders>
        <w:tblCellMar>
          <w:left w:w="0" w:type="dxa"/>
          <w:right w:w="0" w:type="dxa"/>
        </w:tblCellMar>
        <w:tblLook w:val="04A0"/>
      </w:tblPr>
      <w:tblGrid>
        <w:gridCol w:w="8909"/>
        <w:gridCol w:w="85"/>
      </w:tblGrid>
      <w:tr w:rsidR="00DF0444" w:rsidRPr="00531402" w:rsidTr="00C30633">
        <w:trPr>
          <w:trHeight w:val="360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bookmarkStart w:id="0" w:name="classificazione_bethesda_2001"/>
            <w:bookmarkEnd w:id="0"/>
            <w:r w:rsidRPr="00DF0444">
              <w:rPr>
                <w:rFonts w:ascii="Trebuchet MS" w:eastAsia="Times New Roman" w:hAnsi="Trebuchet MS"/>
                <w:b/>
                <w:bCs/>
                <w:color w:val="0000FF"/>
                <w:sz w:val="36"/>
                <w:szCs w:val="36"/>
                <w:lang w:eastAsia="it-IT"/>
              </w:rPr>
              <w:t>BETHESDA SYSTEM 2001</w:t>
            </w:r>
          </w:p>
        </w:tc>
      </w:tr>
      <w:tr w:rsidR="00DF0444" w:rsidRPr="00531402" w:rsidTr="00C30633">
        <w:trPr>
          <w:trHeight w:val="15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TIPO </w:t>
            </w:r>
            <w:proofErr w:type="spellStart"/>
            <w:r w:rsidRPr="00DF044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DI</w:t>
            </w:r>
            <w:proofErr w:type="spellEnd"/>
            <w:r w:rsidRPr="00DF044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 CAMPIONE: </w:t>
            </w:r>
            <w:r w:rsidRPr="00DF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Specificare se </w:t>
            </w:r>
            <w:proofErr w:type="spellStart"/>
            <w:r w:rsidRPr="00DF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pap</w:t>
            </w:r>
            <w:proofErr w:type="spellEnd"/>
            <w:r w:rsidRPr="00DF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test convenzionale, in fase liquida o altro</w:t>
            </w:r>
          </w:p>
        </w:tc>
      </w:tr>
      <w:tr w:rsidR="00DF0444" w:rsidRPr="00531402" w:rsidTr="00C30633">
        <w:trPr>
          <w:trHeight w:val="2265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ADEGUATEZZA DEL CAMPIONE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754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Soddisfacente per la valutazione (segnalare la </w:t>
                  </w:r>
                  <w:proofErr w:type="spellStart"/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presenza\assenza</w:t>
                  </w:r>
                  <w:proofErr w:type="spellEnd"/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di cellule cilindriche </w:t>
                  </w:r>
                  <w:proofErr w:type="spellStart"/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endocervicali</w:t>
                  </w:r>
                  <w:proofErr w:type="spellEnd"/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e di componenti della zona di trasformazione e di altri indicatori di qualità come sangue parzialmente oscurante, infiammazione)</w:t>
                  </w:r>
                </w:p>
              </w:tc>
            </w:tr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26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Insoddisfacente per la valutazione (specificare la ragione)</w:t>
                  </w:r>
                </w:p>
              </w:tc>
            </w:tr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27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Rifiutato/non processato (specificare la ragione)</w:t>
                  </w:r>
                </w:p>
              </w:tc>
            </w:tr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DF0444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F0444" w:rsidRPr="00DF0444" w:rsidRDefault="00DF0444" w:rsidP="00DF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lastRenderedPageBreak/>
              <w:t>CATEGORIZZAZIONE GENERALE (opzionale)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754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28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Negativo per lesioni </w:t>
                  </w:r>
                  <w:proofErr w:type="spellStart"/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intraepiteliali</w:t>
                  </w:r>
                  <w:proofErr w:type="spellEnd"/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o malignità</w:t>
                  </w:r>
                </w:p>
              </w:tc>
            </w:tr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29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Anormalità delle cellule epiteliali squamose o ghiandolari (v. interpretazione risultato)     </w:t>
                  </w:r>
                </w:p>
              </w:tc>
            </w:tr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0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Altro (v. interpretazione risultato)</w:t>
                  </w:r>
                </w:p>
              </w:tc>
            </w:tr>
          </w:tbl>
          <w:p w:rsidR="00DF0444" w:rsidRPr="00DF0444" w:rsidRDefault="00DF0444" w:rsidP="00DF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INTERPRETAZIONE DEL RISULTATO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754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1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Negativo per lesioni </w:t>
                  </w:r>
                  <w:proofErr w:type="spellStart"/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intraepiteliali</w:t>
                  </w:r>
                  <w:proofErr w:type="spellEnd"/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o di malignità</w:t>
                  </w:r>
                </w:p>
              </w:tc>
            </w:tr>
          </w:tbl>
          <w:p w:rsidR="00DF0444" w:rsidRPr="00DF0444" w:rsidRDefault="00DF0444" w:rsidP="00DF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F0444" w:rsidRPr="00531402" w:rsidTr="00C30633">
        <w:trPr>
          <w:trHeight w:val="18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8826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2" type="#_x0000_t75" alt="punto elenco" style="width:7.5pt;height:6.75pt;mso-wrap-distance-left:12pt;mso-wrap-distance-right:12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Organismi:</w:t>
                  </w:r>
                </w:p>
              </w:tc>
            </w:tr>
          </w:tbl>
          <w:p w:rsidR="00DF0444" w:rsidRPr="00DF0444" w:rsidRDefault="00DF0444" w:rsidP="00DF044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F0444" w:rsidRPr="00531402" w:rsidTr="00C30633">
        <w:trPr>
          <w:trHeight w:val="165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Trichomonas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vaginalis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Microorganismi fungini compatibili con il genere Candida, Flora batterica suggestiva per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vaginosi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batterica, Batteri morfologicamente compatibili con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Actynomices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Modificazioni cellulari suggestive per Herpes simplex virus</w:t>
            </w:r>
          </w:p>
        </w:tc>
      </w:tr>
      <w:tr w:rsidR="00DF0444" w:rsidRPr="00531402" w:rsidTr="00C30633">
        <w:trPr>
          <w:trHeight w:val="165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8826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3" type="#_x0000_t75" alt="punto elenco" style="width:7.5pt;height:6.75pt;mso-wrap-distance-left:12pt;mso-wrap-distance-right:12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Altri reperti non neoplastici (opzionale):</w:t>
                  </w:r>
                </w:p>
              </w:tc>
            </w:tr>
          </w:tbl>
          <w:p w:rsidR="00DF0444" w:rsidRPr="00DF0444" w:rsidRDefault="00DF0444" w:rsidP="00DF0444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F0444" w:rsidRPr="00531402" w:rsidTr="00C30633">
        <w:trPr>
          <w:trHeight w:val="165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Cellule reattive associate ad infiammazione (inclusa la riparazione tipica), Terapia radiante, IUD, Cellule ghiandolari in paziente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isterectomizzata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 atrofia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754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4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Altro</w:t>
                  </w:r>
                </w:p>
              </w:tc>
            </w:tr>
          </w:tbl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Cellule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endometriali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 donne di 40 anni o &gt; (specificare se negativo per lesioni squamose)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754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5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Anormalità delle cellule epiteliali</w:t>
                  </w:r>
                </w:p>
              </w:tc>
            </w:tr>
          </w:tbl>
          <w:p w:rsidR="00DF0444" w:rsidRPr="00DF0444" w:rsidRDefault="00DF0444" w:rsidP="00DF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CELLULE SQUAMOSE 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Cellule squamose atipiche (ASC)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Cellule squamose atipiche di significato indeterminato (ASC-US)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Cellule squamose atipiche che non possono escludere HSIL (ASC-H)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Lesione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intraepiteliale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basso grado (LSIL) comprendente HPV/displasia  lieve, CIN1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Lesione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intraepiteliale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alto grado (HSIL) comprendente displasia moderata e grave,carcinoma in situ, CIS, CIN2, CIN3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 quadri sospetti per invasione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Carcinoma squamoso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CELLULE GHIANDOLARI 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DF0444" w:rsidP="00DF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Cellule ghiandolari atipiche (AGC) - specificando se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endometriali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  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endocervicali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ghiandolari o non altrimenti specificate     ( NOS: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not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otherwise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specified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) 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Cellule ghiandolari atipiche suggestive di neoplasia (AGC vs. neoplasia o favor neoplastic) - specificando se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endocervicali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ghiandolari 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Adenocarcinoma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endocervicale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 situ (AIS)</w:t>
            </w:r>
          </w:p>
          <w:p w:rsidR="00DF0444" w:rsidRPr="00DF0444" w:rsidRDefault="00DF0444" w:rsidP="00DF0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Adenocarcinoma :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endocervicale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endometriale</w:t>
            </w:r>
            <w:proofErr w:type="spellEnd"/>
            <w:r w:rsidRPr="00DF04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extrauterino o non altrimenti specificato (NOS)</w:t>
            </w:r>
          </w:p>
        </w:tc>
      </w:tr>
      <w:tr w:rsidR="00DF0444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754"/>
            </w:tblGrid>
            <w:tr w:rsidR="00DF0444" w:rsidRPr="00531402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DF0444" w:rsidRPr="00DF0444" w:rsidRDefault="00FC325A" w:rsidP="00DF04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C325A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pict>
                      <v:shape id="_x0000_i1036" type="#_x0000_t75" alt="punto elenco" style="width:11.25pt;height:11.25pt;mso-wrap-distance-left:9.75pt;mso-wrap-distance-right:9.7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DF0444" w:rsidRPr="00DF0444" w:rsidRDefault="00DF0444" w:rsidP="00DF04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DF04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Altre neoplasie maligne (specificare)</w:t>
                  </w:r>
                </w:p>
              </w:tc>
            </w:tr>
          </w:tbl>
          <w:p w:rsidR="00DF0444" w:rsidRPr="00DF0444" w:rsidRDefault="00DF0444" w:rsidP="00DF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D510E" w:rsidRPr="00531402" w:rsidTr="00C30633">
        <w:trPr>
          <w:trHeight w:val="330"/>
          <w:jc w:val="center"/>
        </w:trPr>
        <w:tc>
          <w:tcPr>
            <w:tcW w:w="4992" w:type="pct"/>
            <w:gridSpan w:val="2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DF0444" w:rsidRPr="00DF0444" w:rsidRDefault="00BD510E" w:rsidP="00BA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NOTE EDUCAZIONALI E SUGGERIMENTI (opzionale)</w:t>
            </w:r>
          </w:p>
        </w:tc>
      </w:tr>
      <w:tr w:rsidR="00DF0444" w:rsidRPr="00323157" w:rsidTr="00C30633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wAfter w:w="47" w:type="pct"/>
          <w:jc w:val="center"/>
        </w:trPr>
        <w:tc>
          <w:tcPr>
            <w:tcW w:w="0" w:type="auto"/>
            <w:tcBorders>
              <w:top w:val="single" w:sz="18" w:space="0" w:color="663300"/>
              <w:left w:val="single" w:sz="18" w:space="0" w:color="663300"/>
              <w:bottom w:val="single" w:sz="18" w:space="0" w:color="663300"/>
              <w:right w:val="single" w:sz="18" w:space="0" w:color="663300"/>
            </w:tcBorders>
            <w:shd w:val="clear" w:color="auto" w:fill="FF00FF"/>
            <w:vAlign w:val="center"/>
            <w:hideMark/>
          </w:tcPr>
          <w:p w:rsidR="00DF0444" w:rsidRPr="00DF0444" w:rsidRDefault="00DF0444" w:rsidP="00DF0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proofErr w:type="spellStart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>Dati</w:t>
            </w:r>
            <w:proofErr w:type="spellEnd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 xml:space="preserve"> in parte </w:t>
            </w:r>
            <w:proofErr w:type="spellStart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>tratti</w:t>
            </w:r>
            <w:proofErr w:type="spellEnd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 xml:space="preserve"> </w:t>
            </w:r>
            <w:proofErr w:type="spellStart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>da</w:t>
            </w:r>
            <w:proofErr w:type="spellEnd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 xml:space="preserve">: 2001 Consensus Guidelines for the Management of Women with Cervical Cytological Abnormalities </w:t>
            </w:r>
            <w:proofErr w:type="spellStart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>Jama</w:t>
            </w:r>
            <w:proofErr w:type="spellEnd"/>
            <w:r w:rsidRPr="00DF0444">
              <w:rPr>
                <w:rFonts w:ascii="Times New Roman" w:eastAsia="Times New Roman" w:hAnsi="Times New Roman"/>
                <w:sz w:val="15"/>
                <w:szCs w:val="15"/>
                <w:lang w:val="en-US" w:eastAsia="it-IT"/>
              </w:rPr>
              <w:t xml:space="preserve"> April 24,2002-vol.287,No16 Mod.             </w:t>
            </w:r>
          </w:p>
        </w:tc>
      </w:tr>
    </w:tbl>
    <w:p w:rsidR="001927AF" w:rsidRPr="003878B9" w:rsidRDefault="00DF0444" w:rsidP="00C30633">
      <w:pPr>
        <w:spacing w:before="100" w:beforeAutospacing="1" w:after="100" w:afterAutospacing="1" w:line="240" w:lineRule="auto"/>
        <w:rPr>
          <w:rFonts w:ascii="Arial" w:hAnsi="Arial" w:cs="Arial"/>
          <w:color w:val="1F497D"/>
          <w:sz w:val="24"/>
          <w:szCs w:val="24"/>
          <w:lang w:val="en-US"/>
        </w:rPr>
      </w:pPr>
      <w:r w:rsidRPr="00DF0444">
        <w:rPr>
          <w:rFonts w:ascii="Times New Roman" w:eastAsia="Times New Roman" w:hAnsi="Times New Roman"/>
          <w:b/>
          <w:bCs/>
          <w:color w:val="800000"/>
          <w:sz w:val="24"/>
          <w:szCs w:val="24"/>
          <w:lang w:val="en-US" w:eastAsia="it-IT"/>
        </w:rPr>
        <w:lastRenderedPageBreak/>
        <w:t> </w:t>
      </w:r>
    </w:p>
    <w:sectPr w:rsidR="001927AF" w:rsidRPr="003878B9" w:rsidSect="00DB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2C" w:rsidRDefault="00C62C2C" w:rsidP="003878B9">
      <w:pPr>
        <w:spacing w:after="0" w:line="240" w:lineRule="auto"/>
      </w:pPr>
      <w:r>
        <w:separator/>
      </w:r>
    </w:p>
  </w:endnote>
  <w:endnote w:type="continuationSeparator" w:id="0">
    <w:p w:rsidR="00C62C2C" w:rsidRDefault="00C62C2C" w:rsidP="0038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B9" w:rsidRDefault="003878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B9" w:rsidRDefault="00FC325A">
    <w:pPr>
      <w:pStyle w:val="Pidipagina"/>
      <w:jc w:val="right"/>
    </w:pPr>
    <w:fldSimple w:instr=" PAGE   \* MERGEFORMAT ">
      <w:r w:rsidR="00C14AC3">
        <w:rPr>
          <w:noProof/>
        </w:rPr>
        <w:t>2</w:t>
      </w:r>
    </w:fldSimple>
  </w:p>
  <w:p w:rsidR="003878B9" w:rsidRDefault="003878B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B9" w:rsidRDefault="003878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2C" w:rsidRDefault="00C62C2C" w:rsidP="003878B9">
      <w:pPr>
        <w:spacing w:after="0" w:line="240" w:lineRule="auto"/>
      </w:pPr>
      <w:r>
        <w:separator/>
      </w:r>
    </w:p>
  </w:footnote>
  <w:footnote w:type="continuationSeparator" w:id="0">
    <w:p w:rsidR="00C62C2C" w:rsidRDefault="00C62C2C" w:rsidP="0038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B9" w:rsidRDefault="003878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B9" w:rsidRDefault="003878B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B9" w:rsidRDefault="003878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A1"/>
    <w:rsid w:val="00046DC2"/>
    <w:rsid w:val="00070436"/>
    <w:rsid w:val="000A497E"/>
    <w:rsid w:val="0013157F"/>
    <w:rsid w:val="00141CB0"/>
    <w:rsid w:val="001927AF"/>
    <w:rsid w:val="001E5D31"/>
    <w:rsid w:val="00236DFD"/>
    <w:rsid w:val="002F4960"/>
    <w:rsid w:val="00323157"/>
    <w:rsid w:val="003878B9"/>
    <w:rsid w:val="003B489A"/>
    <w:rsid w:val="003C418D"/>
    <w:rsid w:val="003E4664"/>
    <w:rsid w:val="00400975"/>
    <w:rsid w:val="00423A16"/>
    <w:rsid w:val="0045138B"/>
    <w:rsid w:val="0047573D"/>
    <w:rsid w:val="004C35B8"/>
    <w:rsid w:val="004E1939"/>
    <w:rsid w:val="00531402"/>
    <w:rsid w:val="00535789"/>
    <w:rsid w:val="005E2043"/>
    <w:rsid w:val="00625E7C"/>
    <w:rsid w:val="006E2581"/>
    <w:rsid w:val="006E2A43"/>
    <w:rsid w:val="006F2137"/>
    <w:rsid w:val="006F6C9A"/>
    <w:rsid w:val="007266A6"/>
    <w:rsid w:val="007B620A"/>
    <w:rsid w:val="007C07C5"/>
    <w:rsid w:val="007D1447"/>
    <w:rsid w:val="008371E8"/>
    <w:rsid w:val="00843176"/>
    <w:rsid w:val="00863911"/>
    <w:rsid w:val="008A5DE4"/>
    <w:rsid w:val="008C0AA1"/>
    <w:rsid w:val="008C303E"/>
    <w:rsid w:val="008E19FA"/>
    <w:rsid w:val="008E5C3D"/>
    <w:rsid w:val="009511D6"/>
    <w:rsid w:val="00955AD2"/>
    <w:rsid w:val="009D4E69"/>
    <w:rsid w:val="00B006EB"/>
    <w:rsid w:val="00B16648"/>
    <w:rsid w:val="00B42EEB"/>
    <w:rsid w:val="00B66939"/>
    <w:rsid w:val="00BA4B8D"/>
    <w:rsid w:val="00BD510E"/>
    <w:rsid w:val="00BE70D8"/>
    <w:rsid w:val="00C14AC3"/>
    <w:rsid w:val="00C30633"/>
    <w:rsid w:val="00C62C2C"/>
    <w:rsid w:val="00CB6D47"/>
    <w:rsid w:val="00CD71D0"/>
    <w:rsid w:val="00D15B88"/>
    <w:rsid w:val="00D6735C"/>
    <w:rsid w:val="00DB7FC3"/>
    <w:rsid w:val="00DF0444"/>
    <w:rsid w:val="00E3393B"/>
    <w:rsid w:val="00E6202D"/>
    <w:rsid w:val="00E84597"/>
    <w:rsid w:val="00F01EF1"/>
    <w:rsid w:val="00F444FC"/>
    <w:rsid w:val="00FC325A"/>
    <w:rsid w:val="00F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0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0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04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044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8B9"/>
  </w:style>
  <w:style w:type="paragraph" w:styleId="Pidipagina">
    <w:name w:val="footer"/>
    <w:basedOn w:val="Normale"/>
    <w:link w:val="PidipaginaCarattere"/>
    <w:uiPriority w:val="99"/>
    <w:unhideWhenUsed/>
    <w:rsid w:val="0038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poscopia.it/pap_test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9381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http://www.colposcopia.it/pap_test.htm</vt:lpwstr>
      </vt:variant>
      <vt:variant>
        <vt:lpwstr>classificazione bethesda 2001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</cp:lastModifiedBy>
  <cp:revision>2</cp:revision>
  <dcterms:created xsi:type="dcterms:W3CDTF">2014-04-07T13:21:00Z</dcterms:created>
  <dcterms:modified xsi:type="dcterms:W3CDTF">2014-04-07T13:21:00Z</dcterms:modified>
</cp:coreProperties>
</file>