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CB" w:rsidRPr="001266CB" w:rsidRDefault="001266CB" w:rsidP="001266CB">
      <w:pPr>
        <w:pStyle w:val="NormaleWeb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266CB">
        <w:rPr>
          <w:rFonts w:asciiTheme="minorHAnsi" w:hAnsiTheme="minorHAnsi"/>
          <w:b/>
          <w:sz w:val="38"/>
          <w:szCs w:val="38"/>
        </w:rPr>
        <w:t>Sicurezza e Previdenza sociale</w:t>
      </w:r>
    </w:p>
    <w:p w:rsidR="001266CB" w:rsidRPr="00697DD7" w:rsidRDefault="001266CB" w:rsidP="001266CB">
      <w:pPr>
        <w:pStyle w:val="NormaleWeb"/>
        <w:jc w:val="center"/>
        <w:rPr>
          <w:rFonts w:asciiTheme="minorHAnsi" w:hAnsiTheme="minorHAnsi"/>
          <w:sz w:val="20"/>
          <w:szCs w:val="20"/>
        </w:rPr>
      </w:pPr>
      <w:r w:rsidRPr="00697DD7">
        <w:rPr>
          <w:rFonts w:asciiTheme="minorHAnsi" w:hAnsiTheme="minorHAnsi"/>
          <w:sz w:val="20"/>
          <w:szCs w:val="20"/>
        </w:rPr>
        <w:t>CREDITI 6</w:t>
      </w:r>
    </w:p>
    <w:p w:rsidR="001266CB" w:rsidRPr="00697DD7" w:rsidRDefault="001266CB" w:rsidP="001266CB">
      <w:pPr>
        <w:pStyle w:val="NormaleWeb"/>
        <w:jc w:val="center"/>
        <w:rPr>
          <w:rFonts w:asciiTheme="minorHAnsi" w:hAnsiTheme="minorHAnsi"/>
          <w:sz w:val="20"/>
          <w:szCs w:val="20"/>
        </w:rPr>
      </w:pPr>
      <w:r w:rsidRPr="00697DD7">
        <w:rPr>
          <w:rFonts w:asciiTheme="minorHAnsi" w:hAnsiTheme="minorHAnsi"/>
          <w:sz w:val="20"/>
          <w:szCs w:val="20"/>
        </w:rPr>
        <w:t>Settore disciplinare SSD-IUS/07</w:t>
      </w:r>
    </w:p>
    <w:p w:rsidR="001266CB" w:rsidRPr="00697DD7" w:rsidRDefault="001266CB" w:rsidP="00697DD7">
      <w:pPr>
        <w:pStyle w:val="NormaleWeb"/>
        <w:jc w:val="center"/>
        <w:rPr>
          <w:rFonts w:asciiTheme="minorHAnsi" w:hAnsiTheme="minorHAnsi"/>
          <w:sz w:val="20"/>
          <w:szCs w:val="20"/>
        </w:rPr>
      </w:pPr>
      <w:r w:rsidRPr="00697DD7">
        <w:rPr>
          <w:rFonts w:asciiTheme="minorHAnsi" w:hAnsiTheme="minorHAnsi"/>
          <w:sz w:val="20"/>
          <w:szCs w:val="20"/>
        </w:rPr>
        <w:t>Lingua di erogazione: Italiano</w:t>
      </w:r>
    </w:p>
    <w:p w:rsidR="001266CB" w:rsidRPr="00697DD7" w:rsidRDefault="001266CB" w:rsidP="001266CB">
      <w:pPr>
        <w:pStyle w:val="NormaleWeb"/>
        <w:rPr>
          <w:rFonts w:asciiTheme="minorHAnsi" w:hAnsiTheme="minorHAnsi"/>
          <w:b/>
          <w:sz w:val="36"/>
          <w:szCs w:val="36"/>
        </w:rPr>
      </w:pPr>
      <w:r w:rsidRPr="00697DD7">
        <w:rPr>
          <w:rFonts w:asciiTheme="minorHAnsi" w:hAnsiTheme="minorHAnsi"/>
          <w:b/>
          <w:sz w:val="36"/>
          <w:szCs w:val="36"/>
        </w:rPr>
        <w:t>Obiettivi formativi</w:t>
      </w:r>
    </w:p>
    <w:p w:rsidR="001266CB" w:rsidRPr="001266CB" w:rsidRDefault="001266CB" w:rsidP="001266CB">
      <w:pPr>
        <w:pStyle w:val="NormaleWeb"/>
        <w:rPr>
          <w:rFonts w:asciiTheme="minorHAnsi" w:hAnsiTheme="minorHAnsi"/>
        </w:rPr>
      </w:pPr>
      <w:r w:rsidRPr="001266CB">
        <w:rPr>
          <w:rFonts w:asciiTheme="minorHAnsi" w:hAnsiTheme="minorHAnsi"/>
        </w:rPr>
        <w:t xml:space="preserve">Il corso si propone di analizzare i principali istituti giuridici della previdenza sociale, fornendo gli strumenti concettuali e metodologici per orientarsi nel complesso sistema normativo mediante il quale si tutelano i lavoratori e i cittadini di fronte alle situazioni di bisogno. </w:t>
      </w:r>
    </w:p>
    <w:p w:rsidR="001266CB" w:rsidRPr="00697DD7" w:rsidRDefault="001266CB" w:rsidP="001266CB">
      <w:pPr>
        <w:pStyle w:val="NormaleWeb"/>
        <w:rPr>
          <w:rFonts w:asciiTheme="minorHAnsi" w:hAnsiTheme="minorHAnsi"/>
          <w:b/>
          <w:sz w:val="36"/>
          <w:szCs w:val="36"/>
        </w:rPr>
      </w:pPr>
      <w:r w:rsidRPr="00697DD7">
        <w:rPr>
          <w:rFonts w:asciiTheme="minorHAnsi" w:hAnsiTheme="minorHAnsi"/>
          <w:b/>
          <w:sz w:val="36"/>
          <w:szCs w:val="36"/>
        </w:rPr>
        <w:t>Programma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>1.      Storia e fondamento della previdenza sociale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>2.      I soggetti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>3.      La tutela contro gli infortuni sul lavoro e le malattie professionali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>4.      Il sistema delle pensioni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>5.      La Previdenza complementare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>6.      Interventi di sostegno al reddito e tutele del lavoro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>7.      Contribuzione e tutela giuridica</w:t>
      </w:r>
    </w:p>
    <w:p w:rsidR="001266CB" w:rsidRPr="001266CB" w:rsidRDefault="001266CB" w:rsidP="001266CB">
      <w:pPr>
        <w:pStyle w:val="NormaleWeb"/>
        <w:ind w:left="720" w:hanging="363"/>
        <w:rPr>
          <w:rFonts w:asciiTheme="minorHAnsi" w:hAnsiTheme="minorHAnsi"/>
        </w:rPr>
      </w:pPr>
      <w:r w:rsidRPr="001266CB">
        <w:rPr>
          <w:rFonts w:asciiTheme="minorHAnsi" w:hAnsiTheme="minorHAnsi"/>
        </w:rPr>
        <w:t xml:space="preserve">8.      Misure di carattere assistenziale </w:t>
      </w:r>
    </w:p>
    <w:p w:rsidR="001266CB" w:rsidRDefault="001266CB" w:rsidP="001266CB">
      <w:pPr>
        <w:pStyle w:val="NormaleWeb"/>
        <w:rPr>
          <w:rFonts w:asciiTheme="minorHAnsi" w:hAnsiTheme="minorHAnsi"/>
        </w:rPr>
      </w:pPr>
      <w:r w:rsidRPr="001266CB">
        <w:rPr>
          <w:rFonts w:asciiTheme="minorHAnsi" w:hAnsiTheme="minorHAnsi"/>
        </w:rPr>
        <w:t> </w:t>
      </w:r>
    </w:p>
    <w:p w:rsidR="001266CB" w:rsidRPr="00697DD7" w:rsidRDefault="001266CB" w:rsidP="001266CB">
      <w:pPr>
        <w:pStyle w:val="NormaleWeb"/>
        <w:rPr>
          <w:rFonts w:asciiTheme="minorHAnsi" w:hAnsiTheme="minorHAnsi"/>
          <w:b/>
          <w:sz w:val="36"/>
          <w:szCs w:val="36"/>
        </w:rPr>
      </w:pPr>
      <w:r w:rsidRPr="00697DD7">
        <w:rPr>
          <w:rFonts w:asciiTheme="minorHAnsi" w:hAnsiTheme="minorHAnsi"/>
          <w:b/>
          <w:bCs/>
          <w:sz w:val="36"/>
          <w:szCs w:val="36"/>
        </w:rPr>
        <w:t>Modalità didattiche</w:t>
      </w:r>
    </w:p>
    <w:p w:rsidR="001266CB" w:rsidRPr="001266CB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1266CB">
        <w:rPr>
          <w:rFonts w:asciiTheme="minorHAnsi" w:hAnsiTheme="minorHAnsi"/>
        </w:rPr>
        <w:t> 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 xml:space="preserve">Le modalità didattiche previste per </w:t>
      </w:r>
      <w:r w:rsidRPr="00697DD7">
        <w:rPr>
          <w:rFonts w:asciiTheme="minorHAnsi" w:hAnsiTheme="minorHAnsi"/>
          <w:b/>
          <w:bCs/>
        </w:rPr>
        <w:t>gli frequentanti</w:t>
      </w:r>
      <w:r w:rsidRPr="00697DD7">
        <w:rPr>
          <w:rFonts w:asciiTheme="minorHAnsi" w:hAnsiTheme="minorHAnsi"/>
        </w:rPr>
        <w:t xml:space="preserve"> implicano che alcuni contenuti del programma verranno esaminati </w:t>
      </w:r>
      <w:r w:rsidR="00EF3235">
        <w:rPr>
          <w:rFonts w:asciiTheme="minorHAnsi" w:hAnsiTheme="minorHAnsi"/>
        </w:rPr>
        <w:t>meno appro</w:t>
      </w:r>
      <w:r w:rsidR="00F54E4D">
        <w:rPr>
          <w:rFonts w:asciiTheme="minorHAnsi" w:hAnsiTheme="minorHAnsi"/>
        </w:rPr>
        <w:t>fo</w:t>
      </w:r>
      <w:r w:rsidR="00EF3235">
        <w:rPr>
          <w:rFonts w:asciiTheme="minorHAnsi" w:hAnsiTheme="minorHAnsi"/>
        </w:rPr>
        <w:t>nditamente, mentre alcune tematiche verranno approfondite</w:t>
      </w:r>
      <w:r w:rsidRPr="00697DD7">
        <w:rPr>
          <w:rFonts w:asciiTheme="minorHAnsi" w:hAnsiTheme="minorHAnsi"/>
        </w:rPr>
        <w:t xml:space="preserve"> attraverso l'ana</w:t>
      </w:r>
      <w:r w:rsidR="00EF3235">
        <w:rPr>
          <w:rFonts w:asciiTheme="minorHAnsi" w:hAnsiTheme="minorHAnsi"/>
        </w:rPr>
        <w:t>lisi di sentenze o l'esame di documenti</w:t>
      </w:r>
      <w:r w:rsidRPr="00697DD7">
        <w:rPr>
          <w:rFonts w:asciiTheme="minorHAnsi" w:hAnsiTheme="minorHAnsi"/>
        </w:rPr>
        <w:t xml:space="preserve"> proveniente dalla prassi. Le modalità didattiche consistono quindi in lezioni frontali dedicate alla trasmissione delle nozioni basilari, delle categorie-chiave e degli strumenti applicativi fondamentali, ai quali si aggiungono </w:t>
      </w:r>
      <w:r w:rsidR="0037129A" w:rsidRPr="00697DD7">
        <w:rPr>
          <w:rFonts w:asciiTheme="minorHAnsi" w:hAnsiTheme="minorHAnsi"/>
        </w:rPr>
        <w:t>degli approfondimenti con</w:t>
      </w:r>
      <w:r w:rsidRPr="00697DD7">
        <w:rPr>
          <w:rFonts w:asciiTheme="minorHAnsi" w:hAnsiTheme="minorHAnsi"/>
        </w:rPr>
        <w:t xml:space="preserve"> il supporto di pronunce giurisprudenziali o di documenti (circolari degli enti previdenziali, documenti </w:t>
      </w:r>
      <w:proofErr w:type="gramStart"/>
      <w:r w:rsidRPr="00697DD7">
        <w:rPr>
          <w:rFonts w:asciiTheme="minorHAnsi" w:hAnsiTheme="minorHAnsi"/>
        </w:rPr>
        <w:t>professionali....</w:t>
      </w:r>
      <w:proofErr w:type="gramEnd"/>
      <w:r w:rsidRPr="00697DD7">
        <w:rPr>
          <w:rFonts w:asciiTheme="minorHAnsi" w:hAnsiTheme="minorHAnsi"/>
        </w:rPr>
        <w:t>) utili all’implementazione delle cono</w:t>
      </w:r>
      <w:r w:rsidR="00EF3235">
        <w:rPr>
          <w:rFonts w:asciiTheme="minorHAnsi" w:hAnsiTheme="minorHAnsi"/>
        </w:rPr>
        <w:t>scenze teoriche. Alla fine di ogni</w:t>
      </w:r>
      <w:r w:rsidRPr="00697DD7">
        <w:rPr>
          <w:rFonts w:asciiTheme="minorHAnsi" w:hAnsiTheme="minorHAnsi"/>
        </w:rPr>
        <w:t xml:space="preserve"> lezione, il docente metterà in rete sulla piattaforma e-learning dell’insegnamento delle diapositive </w:t>
      </w:r>
      <w:r w:rsidR="008A591D" w:rsidRPr="00697DD7">
        <w:rPr>
          <w:rFonts w:asciiTheme="minorHAnsi" w:hAnsiTheme="minorHAnsi"/>
        </w:rPr>
        <w:t>(che non esimano dallo studio del manuale)</w:t>
      </w:r>
      <w:r w:rsidR="008A591D">
        <w:rPr>
          <w:rFonts w:asciiTheme="minorHAnsi" w:hAnsiTheme="minorHAnsi"/>
        </w:rPr>
        <w:t xml:space="preserve"> </w:t>
      </w:r>
      <w:r w:rsidR="0037129A" w:rsidRPr="00697DD7">
        <w:rPr>
          <w:rFonts w:asciiTheme="minorHAnsi" w:hAnsiTheme="minorHAnsi"/>
        </w:rPr>
        <w:t xml:space="preserve">ripercorrendo </w:t>
      </w:r>
      <w:r w:rsidR="008A591D" w:rsidRPr="00697DD7">
        <w:rPr>
          <w:rFonts w:asciiTheme="minorHAnsi" w:hAnsiTheme="minorHAnsi"/>
        </w:rPr>
        <w:t>sintetic</w:t>
      </w:r>
      <w:r w:rsidR="008A591D">
        <w:rPr>
          <w:rFonts w:asciiTheme="minorHAnsi" w:hAnsiTheme="minorHAnsi"/>
        </w:rPr>
        <w:t>amente</w:t>
      </w:r>
      <w:r w:rsidR="008A591D" w:rsidRPr="00697DD7">
        <w:rPr>
          <w:rFonts w:asciiTheme="minorHAnsi" w:hAnsiTheme="minorHAnsi"/>
        </w:rPr>
        <w:t xml:space="preserve"> </w:t>
      </w:r>
      <w:r w:rsidR="0037129A" w:rsidRPr="00697DD7">
        <w:rPr>
          <w:rFonts w:asciiTheme="minorHAnsi" w:hAnsiTheme="minorHAnsi"/>
        </w:rPr>
        <w:t>gli elementi essenziali della lezione appena svolta</w:t>
      </w:r>
      <w:r w:rsidRPr="00697DD7">
        <w:rPr>
          <w:rFonts w:asciiTheme="minorHAnsi" w:hAnsiTheme="minorHAnsi"/>
        </w:rPr>
        <w:t xml:space="preserve">, nonché l'eventuale materiale didattico </w:t>
      </w:r>
      <w:r w:rsidR="0037129A" w:rsidRPr="00697DD7">
        <w:rPr>
          <w:rFonts w:asciiTheme="minorHAnsi" w:hAnsiTheme="minorHAnsi"/>
        </w:rPr>
        <w:t xml:space="preserve">utile </w:t>
      </w:r>
      <w:r w:rsidR="008A591D">
        <w:rPr>
          <w:rFonts w:asciiTheme="minorHAnsi" w:hAnsiTheme="minorHAnsi"/>
        </w:rPr>
        <w:t xml:space="preserve">per </w:t>
      </w:r>
      <w:r w:rsidR="0037129A" w:rsidRPr="00697DD7">
        <w:rPr>
          <w:rFonts w:asciiTheme="minorHAnsi" w:hAnsiTheme="minorHAnsi"/>
        </w:rPr>
        <w:t>approfondire il tema trattato</w:t>
      </w:r>
      <w:r w:rsidRPr="00697DD7">
        <w:rPr>
          <w:rFonts w:asciiTheme="minorHAnsi" w:hAnsiTheme="minorHAnsi"/>
        </w:rPr>
        <w:t xml:space="preserve"> </w:t>
      </w:r>
      <w:r w:rsidR="008A591D">
        <w:rPr>
          <w:rFonts w:asciiTheme="minorHAnsi" w:hAnsiTheme="minorHAnsi"/>
        </w:rPr>
        <w:t>durante la</w:t>
      </w:r>
      <w:r w:rsidRPr="00697DD7">
        <w:rPr>
          <w:rFonts w:asciiTheme="minorHAnsi" w:hAnsiTheme="minorHAnsi"/>
        </w:rPr>
        <w:t xml:space="preserve"> lezione successiva. L'esame di tale mat</w:t>
      </w:r>
      <w:r w:rsidR="00936FBF" w:rsidRPr="00697DD7">
        <w:rPr>
          <w:rFonts w:asciiTheme="minorHAnsi" w:hAnsiTheme="minorHAnsi"/>
        </w:rPr>
        <w:t xml:space="preserve">eriale da parte </w:t>
      </w:r>
      <w:r w:rsidR="00936FBF" w:rsidRPr="00697DD7">
        <w:rPr>
          <w:rFonts w:asciiTheme="minorHAnsi" w:hAnsiTheme="minorHAnsi"/>
        </w:rPr>
        <w:lastRenderedPageBreak/>
        <w:t xml:space="preserve">dello studente </w:t>
      </w:r>
      <w:r w:rsidRPr="00697DD7">
        <w:rPr>
          <w:rFonts w:asciiTheme="minorHAnsi" w:hAnsiTheme="minorHAnsi"/>
        </w:rPr>
        <w:t xml:space="preserve">costituisce </w:t>
      </w:r>
      <w:r w:rsidR="00936FBF" w:rsidRPr="00697DD7">
        <w:rPr>
          <w:rFonts w:asciiTheme="minorHAnsi" w:hAnsiTheme="minorHAnsi"/>
        </w:rPr>
        <w:t xml:space="preserve">anche </w:t>
      </w:r>
      <w:r w:rsidR="0037129A" w:rsidRPr="00697DD7">
        <w:rPr>
          <w:rFonts w:asciiTheme="minorHAnsi" w:hAnsiTheme="minorHAnsi"/>
        </w:rPr>
        <w:t xml:space="preserve">una forma di </w:t>
      </w:r>
      <w:r w:rsidRPr="00697DD7">
        <w:rPr>
          <w:rFonts w:asciiTheme="minorHAnsi" w:hAnsiTheme="minorHAnsi"/>
        </w:rPr>
        <w:t>autovalutazione in itinere dell’apprendimento</w:t>
      </w:r>
      <w:r w:rsidR="00697DD7" w:rsidRPr="00697DD7">
        <w:rPr>
          <w:rFonts w:asciiTheme="minorHAnsi" w:hAnsiTheme="minorHAnsi"/>
        </w:rPr>
        <w:t xml:space="preserve"> delle con</w:t>
      </w:r>
      <w:r w:rsidR="00936FBF" w:rsidRPr="00697DD7">
        <w:rPr>
          <w:rFonts w:asciiTheme="minorHAnsi" w:hAnsiTheme="minorHAnsi"/>
        </w:rPr>
        <w:t>oscenze teoriche acquisite</w:t>
      </w:r>
      <w:r w:rsidRPr="00697DD7">
        <w:rPr>
          <w:rFonts w:asciiTheme="minorHAnsi" w:hAnsiTheme="minorHAnsi"/>
        </w:rPr>
        <w:t>.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 xml:space="preserve">Gli studenti frequentanti riceveranno alla prima lezione il calendario completo delle attività didattiche con le date e gli argomenti trattati. L’indicazione dell’eventuale sospensione del docente verrà anticipata in aula, e in caso di </w:t>
      </w:r>
      <w:r w:rsidR="00D03254" w:rsidRPr="00697DD7">
        <w:rPr>
          <w:rFonts w:asciiTheme="minorHAnsi" w:hAnsiTheme="minorHAnsi"/>
        </w:rPr>
        <w:t>sop</w:t>
      </w:r>
      <w:r w:rsidR="0037129A" w:rsidRPr="00697DD7">
        <w:rPr>
          <w:rFonts w:asciiTheme="minorHAnsi" w:hAnsiTheme="minorHAnsi"/>
        </w:rPr>
        <w:t>ra</w:t>
      </w:r>
      <w:r w:rsidR="000005D5" w:rsidRPr="00697DD7">
        <w:rPr>
          <w:rFonts w:asciiTheme="minorHAnsi" w:hAnsiTheme="minorHAnsi"/>
        </w:rPr>
        <w:t>v</w:t>
      </w:r>
      <w:r w:rsidR="0037129A" w:rsidRPr="00697DD7">
        <w:rPr>
          <w:rFonts w:asciiTheme="minorHAnsi" w:hAnsiTheme="minorHAnsi"/>
        </w:rPr>
        <w:t>venuto impedimento</w:t>
      </w:r>
      <w:r w:rsidRPr="00697DD7">
        <w:rPr>
          <w:rFonts w:asciiTheme="minorHAnsi" w:hAnsiTheme="minorHAnsi"/>
        </w:rPr>
        <w:t>, tramite la piattaforma e-learning</w:t>
      </w:r>
      <w:r w:rsidR="000005D5" w:rsidRPr="00697DD7">
        <w:rPr>
          <w:rFonts w:asciiTheme="minorHAnsi" w:hAnsiTheme="minorHAnsi"/>
        </w:rPr>
        <w:t xml:space="preserve">, oltre che mediante </w:t>
      </w:r>
      <w:r w:rsidR="00D03254" w:rsidRPr="00697DD7">
        <w:rPr>
          <w:rFonts w:asciiTheme="minorHAnsi" w:hAnsiTheme="minorHAnsi"/>
        </w:rPr>
        <w:t xml:space="preserve">i </w:t>
      </w:r>
      <w:r w:rsidR="008A591D">
        <w:rPr>
          <w:rFonts w:asciiTheme="minorHAnsi" w:hAnsiTheme="minorHAnsi"/>
        </w:rPr>
        <w:t xml:space="preserve">consueti </w:t>
      </w:r>
      <w:r w:rsidR="00D03254" w:rsidRPr="00697DD7">
        <w:rPr>
          <w:rFonts w:asciiTheme="minorHAnsi" w:hAnsiTheme="minorHAnsi"/>
        </w:rPr>
        <w:t>strumenti di comunicazione</w:t>
      </w:r>
      <w:r w:rsidRPr="00697DD7">
        <w:rPr>
          <w:rFonts w:asciiTheme="minorHAnsi" w:hAnsiTheme="minorHAnsi"/>
        </w:rPr>
        <w:t xml:space="preserve">. </w:t>
      </w:r>
    </w:p>
    <w:p w:rsidR="001266CB" w:rsidRPr="00697DD7" w:rsidRDefault="00E9619D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 caso vi fosse una richiesta in tale senso da parte degli studenti, </w:t>
      </w:r>
      <w:r w:rsidRPr="00697DD7">
        <w:rPr>
          <w:rFonts w:asciiTheme="minorHAnsi" w:hAnsiTheme="minorHAnsi"/>
        </w:rPr>
        <w:t xml:space="preserve">il docente </w:t>
      </w:r>
      <w:r w:rsidR="00F54E4D">
        <w:rPr>
          <w:rFonts w:asciiTheme="minorHAnsi" w:hAnsiTheme="minorHAnsi"/>
        </w:rPr>
        <w:t>è disponibile a svolgere al termine delle lezioni</w:t>
      </w:r>
      <w:r w:rsidR="001266CB" w:rsidRPr="00697DD7">
        <w:rPr>
          <w:rFonts w:asciiTheme="minorHAnsi" w:hAnsiTheme="minorHAnsi"/>
        </w:rPr>
        <w:t xml:space="preserve"> due ore facoltative</w:t>
      </w:r>
      <w:r w:rsidR="00F54E4D">
        <w:rPr>
          <w:rFonts w:asciiTheme="minorHAnsi" w:hAnsiTheme="minorHAnsi"/>
        </w:rPr>
        <w:t xml:space="preserve"> dedicate</w:t>
      </w:r>
      <w:r w:rsidR="001266CB" w:rsidRPr="00697DD7">
        <w:rPr>
          <w:rFonts w:asciiTheme="minorHAnsi" w:hAnsiTheme="minorHAnsi"/>
        </w:rPr>
        <w:t xml:space="preserve"> al ripasso di </w:t>
      </w:r>
      <w:r>
        <w:rPr>
          <w:rFonts w:asciiTheme="minorHAnsi" w:hAnsiTheme="minorHAnsi"/>
        </w:rPr>
        <w:t xml:space="preserve">alcune </w:t>
      </w:r>
      <w:r w:rsidR="00F54E4D">
        <w:rPr>
          <w:rFonts w:asciiTheme="minorHAnsi" w:hAnsiTheme="minorHAnsi"/>
        </w:rPr>
        <w:t>tematiche del programma</w:t>
      </w:r>
      <w:r w:rsidR="001266CB" w:rsidRPr="00697DD7">
        <w:rPr>
          <w:rFonts w:asciiTheme="minorHAnsi" w:hAnsiTheme="minorHAnsi"/>
        </w:rPr>
        <w:t xml:space="preserve">. 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> 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 xml:space="preserve">Gli studenti </w:t>
      </w:r>
      <w:r w:rsidRPr="00697DD7">
        <w:rPr>
          <w:rFonts w:asciiTheme="minorHAnsi" w:hAnsiTheme="minorHAnsi"/>
          <w:b/>
          <w:bCs/>
        </w:rPr>
        <w:t>Erasmus</w:t>
      </w:r>
      <w:r w:rsidRPr="00697DD7">
        <w:rPr>
          <w:rFonts w:asciiTheme="minorHAnsi" w:hAnsiTheme="minorHAnsi"/>
        </w:rPr>
        <w:t xml:space="preserve"> dovranno contattare il docente per fissare modalità didattiche particolari. </w:t>
      </w:r>
    </w:p>
    <w:p w:rsidR="001266CB" w:rsidRPr="001266CB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1266CB">
        <w:rPr>
          <w:rFonts w:asciiTheme="minorHAnsi" w:hAnsiTheme="minorHAnsi"/>
        </w:rPr>
        <w:t> </w:t>
      </w:r>
    </w:p>
    <w:p w:rsidR="001266CB" w:rsidRPr="001266CB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1266CB">
        <w:rPr>
          <w:rFonts w:asciiTheme="minorHAnsi" w:hAnsiTheme="minorHAnsi"/>
        </w:rPr>
        <w:t> 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  <w:b/>
          <w:sz w:val="36"/>
          <w:szCs w:val="36"/>
        </w:rPr>
      </w:pPr>
      <w:r w:rsidRPr="00697DD7">
        <w:rPr>
          <w:rFonts w:asciiTheme="minorHAnsi" w:hAnsiTheme="minorHAnsi"/>
          <w:b/>
          <w:sz w:val="36"/>
          <w:szCs w:val="36"/>
        </w:rPr>
        <w:t>T</w:t>
      </w:r>
      <w:r w:rsidR="00697DD7" w:rsidRPr="00697DD7">
        <w:rPr>
          <w:rFonts w:asciiTheme="minorHAnsi" w:hAnsiTheme="minorHAnsi"/>
          <w:b/>
          <w:sz w:val="36"/>
          <w:szCs w:val="36"/>
        </w:rPr>
        <w:t>esto consigliato</w:t>
      </w:r>
    </w:p>
    <w:p w:rsidR="00697DD7" w:rsidRDefault="00697DD7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 xml:space="preserve">V. Ferrante, T. Tranquillo, </w:t>
      </w:r>
      <w:r w:rsidRPr="00697DD7">
        <w:rPr>
          <w:rFonts w:asciiTheme="minorHAnsi" w:hAnsiTheme="minorHAnsi"/>
          <w:i/>
          <w:iCs/>
        </w:rPr>
        <w:t>Nozioni di diritto della previdenza sociale</w:t>
      </w:r>
      <w:r w:rsidRPr="00697DD7">
        <w:rPr>
          <w:rFonts w:asciiTheme="minorHAnsi" w:hAnsiTheme="minorHAnsi"/>
        </w:rPr>
        <w:t xml:space="preserve">, II </w:t>
      </w:r>
      <w:proofErr w:type="gramStart"/>
      <w:r w:rsidRPr="00697DD7">
        <w:rPr>
          <w:rFonts w:asciiTheme="minorHAnsi" w:hAnsiTheme="minorHAnsi"/>
        </w:rPr>
        <w:t>Ed.,</w:t>
      </w:r>
      <w:proofErr w:type="gramEnd"/>
      <w:r w:rsidRPr="00697DD7">
        <w:rPr>
          <w:rFonts w:asciiTheme="minorHAnsi" w:hAnsiTheme="minorHAnsi"/>
        </w:rPr>
        <w:t xml:space="preserve"> Cedam, 2016.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  <w:b/>
        </w:rPr>
      </w:pPr>
      <w:r w:rsidRPr="00697DD7">
        <w:rPr>
          <w:rFonts w:asciiTheme="minorHAnsi" w:hAnsiTheme="minorHAnsi"/>
          <w:b/>
        </w:rPr>
        <w:t> </w:t>
      </w:r>
    </w:p>
    <w:p w:rsidR="001266CB" w:rsidRPr="00697DD7" w:rsidRDefault="001266CB" w:rsidP="0037129A">
      <w:pPr>
        <w:pStyle w:val="NormaleWeb"/>
        <w:spacing w:before="0" w:beforeAutospacing="0" w:after="0"/>
        <w:jc w:val="both"/>
        <w:rPr>
          <w:rFonts w:asciiTheme="minorHAnsi" w:hAnsiTheme="minorHAnsi"/>
          <w:b/>
        </w:rPr>
      </w:pPr>
      <w:r w:rsidRPr="00697DD7">
        <w:rPr>
          <w:rFonts w:asciiTheme="minorHAnsi" w:hAnsiTheme="minorHAnsi"/>
          <w:b/>
          <w:sz w:val="38"/>
          <w:szCs w:val="38"/>
        </w:rPr>
        <w:t>Modalità d'esame</w:t>
      </w:r>
    </w:p>
    <w:p w:rsidR="001266CB" w:rsidRPr="001266CB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1266CB">
        <w:rPr>
          <w:rFonts w:asciiTheme="minorHAnsi" w:hAnsiTheme="minorHAnsi"/>
        </w:rPr>
        <w:t> 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  <w:b/>
          <w:bCs/>
        </w:rPr>
        <w:t>Modalità d'esame per i frequentanti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> </w:t>
      </w:r>
    </w:p>
    <w:p w:rsidR="0037129A" w:rsidRPr="00697DD7" w:rsidRDefault="0037129A" w:rsidP="0037129A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 xml:space="preserve">L’accertamento dei risultati di apprendimento prevede per gli studenti frequentanti un accertamento preliminare scritto delle conoscenze acquisite e una prova orale integrativa. 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 xml:space="preserve">La prova scritta per frequentanti, che consiste prevalentemente in domande aperte, è tesa ad accertare la conoscenza degli argomenti in programma e la capacità di applicare gli schemi logici alle questioni poste. Ad ogni </w:t>
      </w:r>
      <w:r w:rsidR="0037129A" w:rsidRPr="00697DD7">
        <w:rPr>
          <w:rFonts w:asciiTheme="minorHAnsi" w:hAnsiTheme="minorHAnsi"/>
        </w:rPr>
        <w:t>quesito</w:t>
      </w:r>
      <w:r w:rsidRPr="00697DD7">
        <w:rPr>
          <w:rFonts w:asciiTheme="minorHAnsi" w:hAnsiTheme="minorHAnsi"/>
        </w:rPr>
        <w:t xml:space="preserve"> è associato un punteggio espresso in 30esimi.</w:t>
      </w:r>
      <w:r w:rsidR="0037129A" w:rsidRPr="00697DD7">
        <w:rPr>
          <w:rFonts w:asciiTheme="minorHAnsi" w:hAnsiTheme="minorHAnsi"/>
        </w:rPr>
        <w:t xml:space="preserve"> </w:t>
      </w:r>
      <w:r w:rsidRPr="00697DD7">
        <w:rPr>
          <w:rFonts w:asciiTheme="minorHAnsi" w:hAnsiTheme="minorHAnsi"/>
        </w:rPr>
        <w:t>La prova scritta si conclude con una proposta di voto che lo studente può integrare con la prova orale. La prova orale integrativa consiste in un colloquio teso a sviluppare le questioni emerse nel contesto del preaccertamento scritto.</w:t>
      </w:r>
    </w:p>
    <w:p w:rsidR="001266CB" w:rsidRPr="00697DD7" w:rsidRDefault="0037129A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 xml:space="preserve">Le prove di accertamento per frequentanti riguardano potenzialmente tutti gli argomenti del programma trattati a lezione, ivi compresi gli approfondimenti effettuati tramite il materiale didattico presente nella piattaforma e-learning. </w:t>
      </w:r>
    </w:p>
    <w:p w:rsidR="001266CB" w:rsidRPr="00697DD7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> </w:t>
      </w:r>
    </w:p>
    <w:p w:rsidR="001266CB" w:rsidRDefault="001266CB" w:rsidP="001266CB">
      <w:pPr>
        <w:pStyle w:val="NormaleWeb"/>
        <w:spacing w:before="0" w:beforeAutospacing="0" w:after="0"/>
        <w:jc w:val="both"/>
        <w:rPr>
          <w:rFonts w:asciiTheme="minorHAnsi" w:hAnsiTheme="minorHAnsi"/>
          <w:b/>
          <w:bCs/>
        </w:rPr>
      </w:pPr>
      <w:r w:rsidRPr="00697DD7">
        <w:rPr>
          <w:rFonts w:asciiTheme="minorHAnsi" w:hAnsiTheme="minorHAnsi"/>
          <w:b/>
          <w:bCs/>
        </w:rPr>
        <w:t>Modalità d'es</w:t>
      </w:r>
      <w:r w:rsidR="00706078">
        <w:rPr>
          <w:rFonts w:asciiTheme="minorHAnsi" w:hAnsiTheme="minorHAnsi"/>
          <w:b/>
          <w:bCs/>
        </w:rPr>
        <w:t>ame per</w:t>
      </w:r>
      <w:r w:rsidRPr="00697DD7">
        <w:rPr>
          <w:rFonts w:asciiTheme="minorHAnsi" w:hAnsiTheme="minorHAnsi"/>
          <w:b/>
          <w:bCs/>
        </w:rPr>
        <w:t xml:space="preserve"> i non frequentan</w:t>
      </w:r>
      <w:r w:rsidR="00706078">
        <w:rPr>
          <w:rFonts w:asciiTheme="minorHAnsi" w:hAnsiTheme="minorHAnsi"/>
          <w:b/>
          <w:bCs/>
        </w:rPr>
        <w:t xml:space="preserve">ti </w:t>
      </w:r>
    </w:p>
    <w:p w:rsidR="00706078" w:rsidRPr="00706078" w:rsidRDefault="00706078" w:rsidP="001266CB">
      <w:pPr>
        <w:pStyle w:val="NormaleWeb"/>
        <w:spacing w:before="0" w:beforeAutospacing="0" w:after="0"/>
        <w:jc w:val="both"/>
        <w:rPr>
          <w:rFonts w:asciiTheme="minorHAnsi" w:hAnsiTheme="minorHAnsi"/>
          <w:b/>
          <w:bCs/>
        </w:rPr>
      </w:pPr>
    </w:p>
    <w:p w:rsidR="001266CB" w:rsidRPr="00697DD7" w:rsidRDefault="0037129A" w:rsidP="001266CB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>L’accertamento dei risultati di apprendimento prevede per gli studenti non frequentanti una prova</w:t>
      </w:r>
      <w:r w:rsidR="001266CB" w:rsidRPr="00697DD7">
        <w:rPr>
          <w:rFonts w:asciiTheme="minorHAnsi" w:hAnsiTheme="minorHAnsi"/>
        </w:rPr>
        <w:t> </w:t>
      </w:r>
      <w:r w:rsidRPr="00697DD7">
        <w:rPr>
          <w:rFonts w:asciiTheme="minorHAnsi" w:hAnsiTheme="minorHAnsi"/>
        </w:rPr>
        <w:t xml:space="preserve">orale unica, che </w:t>
      </w:r>
      <w:r w:rsidR="001266CB" w:rsidRPr="00697DD7">
        <w:rPr>
          <w:rFonts w:asciiTheme="minorHAnsi" w:hAnsiTheme="minorHAnsi"/>
        </w:rPr>
        <w:t xml:space="preserve">verte sull’intero programma. </w:t>
      </w:r>
      <w:r w:rsidR="00D03254" w:rsidRPr="00697DD7">
        <w:rPr>
          <w:rFonts w:asciiTheme="minorHAnsi" w:hAnsiTheme="minorHAnsi"/>
        </w:rPr>
        <w:t>Il</w:t>
      </w:r>
      <w:r w:rsidR="001266CB" w:rsidRPr="00697DD7">
        <w:rPr>
          <w:rFonts w:asciiTheme="minorHAnsi" w:hAnsiTheme="minorHAnsi"/>
        </w:rPr>
        <w:t xml:space="preserve"> contenuto del programma è aderente </w:t>
      </w:r>
      <w:r w:rsidR="00E9619D">
        <w:rPr>
          <w:rFonts w:asciiTheme="minorHAnsi" w:hAnsiTheme="minorHAnsi"/>
        </w:rPr>
        <w:t xml:space="preserve">al </w:t>
      </w:r>
      <w:r w:rsidR="001266CB" w:rsidRPr="00697DD7">
        <w:rPr>
          <w:rFonts w:asciiTheme="minorHAnsi" w:hAnsiTheme="minorHAnsi"/>
        </w:rPr>
        <w:t>libro di testo.</w:t>
      </w:r>
    </w:p>
    <w:p w:rsidR="00DA0C64" w:rsidRPr="00697DD7" w:rsidRDefault="00DA0C64" w:rsidP="0037129A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</w:p>
    <w:p w:rsidR="0037129A" w:rsidRPr="00697DD7" w:rsidRDefault="00D03254" w:rsidP="0037129A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  <w:r w:rsidRPr="00697DD7">
        <w:rPr>
          <w:rFonts w:asciiTheme="minorHAnsi" w:hAnsiTheme="minorHAnsi"/>
        </w:rPr>
        <w:t>Si segnala che</w:t>
      </w:r>
      <w:r w:rsidR="0037129A" w:rsidRPr="00697DD7">
        <w:rPr>
          <w:rFonts w:asciiTheme="minorHAnsi" w:hAnsiTheme="minorHAnsi"/>
        </w:rPr>
        <w:t xml:space="preserve"> sia per i frequentanti che per i non frequentanti, durante tutto l’anno accademico, il docente potrà fornire delucidazioni sui contenuti del programma </w:t>
      </w:r>
      <w:r w:rsidR="00E9619D">
        <w:rPr>
          <w:rFonts w:asciiTheme="minorHAnsi" w:hAnsiTheme="minorHAnsi"/>
        </w:rPr>
        <w:t xml:space="preserve">e delle lezioni </w:t>
      </w:r>
      <w:r w:rsidR="0037129A" w:rsidRPr="00697DD7">
        <w:rPr>
          <w:rFonts w:asciiTheme="minorHAnsi" w:hAnsiTheme="minorHAnsi"/>
        </w:rPr>
        <w:t>durante il servizio di ricevimento individuale che si svolgerà negli orari indicati sulle pagine web, fermo restando la possibilità di fissare uno specifico appuntamento in gior</w:t>
      </w:r>
      <w:r w:rsidR="00697DD7" w:rsidRPr="00697DD7">
        <w:rPr>
          <w:rFonts w:asciiTheme="minorHAnsi" w:hAnsiTheme="minorHAnsi"/>
        </w:rPr>
        <w:t>no e/o orari diversi in caso d'</w:t>
      </w:r>
      <w:r w:rsidR="0037129A" w:rsidRPr="00697DD7">
        <w:rPr>
          <w:rFonts w:asciiTheme="minorHAnsi" w:hAnsiTheme="minorHAnsi"/>
        </w:rPr>
        <w:t>impossibilità per lo studente di recarsi</w:t>
      </w:r>
      <w:r w:rsidR="00E9619D">
        <w:rPr>
          <w:rFonts w:asciiTheme="minorHAnsi" w:hAnsiTheme="minorHAnsi"/>
        </w:rPr>
        <w:t xml:space="preserve"> al ricevimento ordinario</w:t>
      </w:r>
      <w:r w:rsidR="0037129A" w:rsidRPr="00697DD7">
        <w:rPr>
          <w:rFonts w:asciiTheme="minorHAnsi" w:hAnsiTheme="minorHAnsi"/>
        </w:rPr>
        <w:t>.</w:t>
      </w:r>
    </w:p>
    <w:p w:rsidR="0037129A" w:rsidRPr="00697DD7" w:rsidRDefault="0037129A" w:rsidP="0037129A">
      <w:pPr>
        <w:pStyle w:val="NormaleWeb"/>
        <w:spacing w:before="0" w:beforeAutospacing="0" w:after="0"/>
        <w:jc w:val="both"/>
        <w:rPr>
          <w:rFonts w:asciiTheme="minorHAnsi" w:hAnsiTheme="minorHAnsi"/>
        </w:rPr>
      </w:pPr>
    </w:p>
    <w:sectPr w:rsidR="0037129A" w:rsidRPr="00697DD7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</w:rPr>
    </w:lvl>
  </w:abstractNum>
  <w:abstractNum w:abstractNumId="2" w15:restartNumberingAfterBreak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39"/>
    <w:rsid w:val="000005D5"/>
    <w:rsid w:val="000B12FB"/>
    <w:rsid w:val="001266CB"/>
    <w:rsid w:val="00211C07"/>
    <w:rsid w:val="0037129A"/>
    <w:rsid w:val="00394957"/>
    <w:rsid w:val="00697DD7"/>
    <w:rsid w:val="006F351B"/>
    <w:rsid w:val="00706078"/>
    <w:rsid w:val="00762C97"/>
    <w:rsid w:val="007702B3"/>
    <w:rsid w:val="00807BB4"/>
    <w:rsid w:val="00822070"/>
    <w:rsid w:val="00842729"/>
    <w:rsid w:val="008A591D"/>
    <w:rsid w:val="009041D7"/>
    <w:rsid w:val="00936FBF"/>
    <w:rsid w:val="00950ADD"/>
    <w:rsid w:val="00AA2269"/>
    <w:rsid w:val="00BD4939"/>
    <w:rsid w:val="00C23545"/>
    <w:rsid w:val="00C671A5"/>
    <w:rsid w:val="00D03254"/>
    <w:rsid w:val="00D520E9"/>
    <w:rsid w:val="00D80D25"/>
    <w:rsid w:val="00DA0C64"/>
    <w:rsid w:val="00E9619D"/>
    <w:rsid w:val="00EE0145"/>
    <w:rsid w:val="00EF3235"/>
    <w:rsid w:val="00F54E4D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DCFFF-6B20-4DF3-8D21-3D664636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4939"/>
    <w:pPr>
      <w:spacing w:after="0" w:line="240" w:lineRule="auto"/>
      <w:jc w:val="left"/>
    </w:pPr>
    <w:rPr>
      <w:rFonts w:eastAsiaTheme="minorEastAsia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D4939"/>
    <w:pPr>
      <w:keepNext/>
      <w:suppressAutoHyphens/>
      <w:spacing w:before="240" w:after="60"/>
      <w:ind w:left="1440" w:hanging="3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93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D493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eWeb">
    <w:name w:val="Normal (Web)"/>
    <w:basedOn w:val="Normale"/>
    <w:uiPriority w:val="99"/>
    <w:unhideWhenUsed/>
    <w:rsid w:val="001266CB"/>
    <w:pPr>
      <w:spacing w:before="100" w:beforeAutospacing="1" w:after="11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3804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Sara Tronconi</cp:lastModifiedBy>
  <cp:revision>2</cp:revision>
  <cp:lastPrinted>2016-07-08T09:54:00Z</cp:lastPrinted>
  <dcterms:created xsi:type="dcterms:W3CDTF">2017-08-07T07:19:00Z</dcterms:created>
  <dcterms:modified xsi:type="dcterms:W3CDTF">2017-08-07T07:19:00Z</dcterms:modified>
</cp:coreProperties>
</file>