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5C" w:rsidRDefault="003D255C" w:rsidP="003D255C">
      <w:pPr>
        <w:pBdr>
          <w:bottom w:val="single" w:sz="12" w:space="2" w:color="DDDDA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Istituzioni di diritto privato – Laurea triennale in Scienze dei servizi giuridici</w:t>
      </w:r>
    </w:p>
    <w:p w:rsidR="003D255C" w:rsidRPr="003D255C" w:rsidRDefault="003D255C" w:rsidP="003D255C">
      <w:pPr>
        <w:pBdr>
          <w:bottom w:val="single" w:sz="12" w:space="2" w:color="DDDDA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  <w:t>(Alessandra Cordiano)</w:t>
      </w:r>
    </w:p>
    <w:p w:rsidR="003D255C" w:rsidRPr="003D255C" w:rsidRDefault="003D255C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Obiettivi formativi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La disciplina, attraverso lo studio delle nozioni fondamentali, affronta il tradizionale oggetto di studi del diritto civile</w:t>
      </w:r>
      <w:r w:rsidR="00001C5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comprese le questioni di metodo interessanti la materia. Nel particolare, il corso prevede l’apprendimento delle materie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giusprivatistiche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una visione unitaria dell’ordinamento che consideri anche l’incidenza sul piano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interno del diritto comunitario, al fine per poter meglio acquisire le competenze che verranno fornite dalle materie a contenuto maggiormente professionalizzante.</w:t>
      </w:r>
    </w:p>
    <w:p w:rsidR="003D255C" w:rsidRP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Lo studente dovrà essere in grado di: comprendere le principali questioni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giusprivatistiche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emergenti nel contesti professionali di riferimento; reperire, esaminare e comprendere le fonti giuridiche interessanti la materia; acquisire le competenze e le abilità necessarie per raccogliere i dati di contesto, individuare le problematiche che emergono e gestire le criticità. </w:t>
      </w:r>
    </w:p>
    <w:p w:rsidR="006A2B2A" w:rsidRDefault="006A2B2A" w:rsidP="006A2B2A">
      <w:pPr>
        <w:pStyle w:val="NormaleWeb"/>
        <w:spacing w:before="0" w:beforeAutospacing="0" w:after="0" w:afterAutospacing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Metodologia didattica</w:t>
      </w:r>
    </w:p>
    <w:p w:rsidR="006A2B2A" w:rsidRPr="00B26FA4" w:rsidRDefault="006A2B2A" w:rsidP="006A2B2A">
      <w:pPr>
        <w:pStyle w:val="NormaleWeb"/>
        <w:spacing w:before="0" w:beforeAutospacing="0" w:after="0" w:afterAutospacing="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Le lezioni </w:t>
      </w:r>
      <w:r w:rsidRPr="00B26FA4">
        <w:rPr>
          <w:rFonts w:cs="Arial"/>
          <w:sz w:val="20"/>
          <w:szCs w:val="20"/>
        </w:rPr>
        <w:t>frontali</w:t>
      </w:r>
      <w:r>
        <w:rPr>
          <w:rFonts w:cs="Arial"/>
          <w:sz w:val="20"/>
          <w:szCs w:val="20"/>
        </w:rPr>
        <w:t xml:space="preserve"> prevedono</w:t>
      </w:r>
      <w:r w:rsidRPr="00B26FA4">
        <w:rPr>
          <w:rFonts w:cs="Arial"/>
          <w:sz w:val="20"/>
          <w:szCs w:val="20"/>
        </w:rPr>
        <w:t xml:space="preserve"> la partecipazione attiva da parte de</w:t>
      </w:r>
      <w:r>
        <w:rPr>
          <w:rFonts w:cs="Arial"/>
          <w:sz w:val="20"/>
          <w:szCs w:val="20"/>
        </w:rPr>
        <w:t>gli studenti anche attraverso l’</w:t>
      </w:r>
      <w:r w:rsidRPr="00B26FA4">
        <w:rPr>
          <w:rFonts w:cs="Arial"/>
          <w:sz w:val="20"/>
          <w:szCs w:val="20"/>
        </w:rPr>
        <w:t xml:space="preserve">analisi di casi di studio. Gli studenti sono invitati a venire a lezione con </w:t>
      </w:r>
      <w:r>
        <w:rPr>
          <w:rFonts w:cs="Arial"/>
          <w:sz w:val="20"/>
          <w:szCs w:val="20"/>
        </w:rPr>
        <w:t>il codice civile e con altra legislazione, che verrà indicata,</w:t>
      </w:r>
      <w:r w:rsidRPr="00B26FA4">
        <w:rPr>
          <w:rFonts w:cs="Arial"/>
          <w:sz w:val="20"/>
          <w:szCs w:val="20"/>
        </w:rPr>
        <w:t xml:space="preserve"> in modo </w:t>
      </w:r>
      <w:r>
        <w:rPr>
          <w:rFonts w:cs="Arial"/>
          <w:sz w:val="20"/>
          <w:szCs w:val="20"/>
        </w:rPr>
        <w:t>da</w:t>
      </w:r>
      <w:r w:rsidRPr="00B26FA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poter</w:t>
      </w:r>
      <w:r w:rsidRPr="00B26FA4">
        <w:rPr>
          <w:rFonts w:cs="Arial"/>
          <w:sz w:val="20"/>
          <w:szCs w:val="20"/>
        </w:rPr>
        <w:t xml:space="preserve"> sviluppare una adeguata capacità di leggere e interpretare la legge</w:t>
      </w:r>
      <w:r>
        <w:rPr>
          <w:rFonts w:ascii="Arial" w:hAnsi="Arial" w:cs="Arial"/>
          <w:color w:val="222222"/>
        </w:rPr>
        <w:t>.</w:t>
      </w:r>
    </w:p>
    <w:p w:rsidR="006A2B2A" w:rsidRDefault="006A2B2A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</w:p>
    <w:p w:rsidR="006A2B2A" w:rsidRDefault="006A2B2A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</w:p>
    <w:p w:rsidR="003D255C" w:rsidRPr="006A2B2A" w:rsidRDefault="003D255C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</w:pPr>
      <w:r w:rsidRPr="006A2B2A">
        <w:rPr>
          <w:rFonts w:ascii="Times New Roman" w:eastAsia="Times New Roman" w:hAnsi="Times New Roman" w:cs="Times New Roman"/>
          <w:b/>
          <w:color w:val="000000"/>
          <w:spacing w:val="-15"/>
          <w:sz w:val="20"/>
          <w:szCs w:val="20"/>
          <w:lang w:eastAsia="it-IT"/>
        </w:rPr>
        <w:t>Programma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Nozioni generali: ordinamento giuridico; fonti; applicazione delle leggi; situazioni soggettive e rapporti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giuridici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L’incidenza d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el tempo sul rapporto giuridico: prescrizione e decadenza.</w:t>
      </w:r>
    </w:p>
    <w:p w:rsidR="00001C5E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I fatti e i negozi giuridici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(classificazione dei contratti)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 Gli elementi essenziali del negozio giuridico. La pubblicità dei fatti giuridici.</w:t>
      </w:r>
      <w:r w:rsidR="00001C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prove dei fat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ti giuridici</w:t>
      </w:r>
      <w:r w:rsidR="00C112A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il contesto giurisdizionale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persone. Le persone fisiche. Le situazioni esistenziali. Le persone giuridiche e gli enti non riconosciuti.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obbligazioni. Le vicende delle obbligazioni. L’inadempimento. Le garanzie dell’obbligazione.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L’esecuzione forzata del credito.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Le fonti delle obbligazioni. Il contratto</w:t>
      </w:r>
      <w:r w:rsidR="00C112A0">
        <w:rPr>
          <w:rFonts w:ascii="Times New Roman" w:eastAsia="Times New Roman" w:hAnsi="Times New Roman" w:cs="Times New Roman"/>
          <w:sz w:val="20"/>
          <w:szCs w:val="20"/>
          <w:lang w:eastAsia="it-IT"/>
        </w:rPr>
        <w:t>: procedimento di formazione, sostituzioni nell’attività contrattuale, invalidità, efficacia ed esecuzione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 Le fonti da atto lecito diverse dai contratti (dei titoli di credito le sole definizioni). I fatti illeciti.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Testi consigliati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Francesco Ruscello, Compendio di Istituzioni di diritto privato, </w:t>
      </w:r>
      <w:proofErr w:type="spellStart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Amon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, Padova, ultima edizione</w:t>
      </w:r>
      <w:r w:rsidR="00FB649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Capitoli da I 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XXIV</w:t>
      </w: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Si consiglia l’uso dell’ultima edizione di un Codice civile che comprenda, oltre alle principali leggi collegate, i testi della Costituzione e del 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rattato della Comunità europea.</w:t>
      </w:r>
    </w:p>
    <w:p w:rsidR="006A2B2A" w:rsidRDefault="006A2B2A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cs="Arial"/>
          <w:sz w:val="20"/>
        </w:rPr>
        <w:t>Si avvisano gli studenti di consultare il materiale didattico di aggiornamento presente sull’e-learning del corso.</w:t>
      </w:r>
    </w:p>
    <w:p w:rsid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Per verificare lo stato della preparazione si può utilizzare:</w:t>
      </w:r>
    </w:p>
    <w:p w:rsidR="003D255C" w:rsidRP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Francesco Ruscello, Esercizi di Istituzioni di diritto privato, Padova, </w:t>
      </w:r>
      <w:proofErr w:type="spellStart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Amon</w:t>
      </w:r>
      <w:proofErr w:type="spellEnd"/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, 2015</w:t>
      </w:r>
    </w:p>
    <w:p w:rsidR="003D255C" w:rsidRPr="003D255C" w:rsidRDefault="003D255C" w:rsidP="003D255C">
      <w:pPr>
        <w:pBdr>
          <w:bottom w:val="single" w:sz="12" w:space="2" w:color="DDDD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</w:pPr>
      <w:proofErr w:type="spellStart"/>
      <w:r w:rsidRPr="003D255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  <w:t>Modalita</w:t>
      </w:r>
      <w:proofErr w:type="spellEnd"/>
      <w:r w:rsidRPr="003D255C"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it-IT"/>
        </w:rPr>
        <w:t xml:space="preserve"> d'esame</w:t>
      </w:r>
    </w:p>
    <w:p w:rsidR="003D255C" w:rsidRPr="003D255C" w:rsidRDefault="003D255C" w:rsidP="003D255C">
      <w:pPr>
        <w:shd w:val="clear" w:color="auto" w:fill="F8F7E7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D255C">
        <w:rPr>
          <w:rFonts w:ascii="Times New Roman" w:eastAsia="Times New Roman" w:hAnsi="Times New Roman" w:cs="Times New Roman"/>
          <w:sz w:val="20"/>
          <w:szCs w:val="20"/>
          <w:lang w:eastAsia="it-IT"/>
        </w:rPr>
        <w:t>L’esame si svolgerà in due parti. La prima parte consiste in una prova di preselezione con quesiti a risposta multipla, volta ad accertare la padronanza minima, da parte dello studente, delle nozioni basilari del diritto privato. La seconda parte, sotto forma di colloquio, prevede l’accertamento delle conoscenze teoriche e pratiche relative agli istituti oggetto del programma.</w:t>
      </w:r>
    </w:p>
    <w:p w:rsidR="006B47D4" w:rsidRPr="003D255C" w:rsidRDefault="006B47D4" w:rsidP="003D2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B47D4" w:rsidRPr="003D2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5C"/>
    <w:rsid w:val="00001C5E"/>
    <w:rsid w:val="003D255C"/>
    <w:rsid w:val="006A2B2A"/>
    <w:rsid w:val="006B47D4"/>
    <w:rsid w:val="008C440A"/>
    <w:rsid w:val="00C112A0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5782-5842-4BF2-968B-7348BAF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D255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pacing w:val="-15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255C"/>
    <w:rPr>
      <w:rFonts w:ascii="Verdana" w:eastAsia="Times New Roman" w:hAnsi="Verdana" w:cs="Times New Roman"/>
      <w:spacing w:val="-15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305">
          <w:marLeft w:val="-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3993">
              <w:marLeft w:val="30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  <w:div w:id="852253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  <w:div w:id="9702128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Cordiano</dc:creator>
  <cp:lastModifiedBy>Chiara Bertoni</cp:lastModifiedBy>
  <cp:revision>2</cp:revision>
  <dcterms:created xsi:type="dcterms:W3CDTF">2016-09-14T11:48:00Z</dcterms:created>
  <dcterms:modified xsi:type="dcterms:W3CDTF">2016-09-14T11:48:00Z</dcterms:modified>
</cp:coreProperties>
</file>